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6839_WPSOffice_Level1"/>
      <w:bookmarkStart w:id="1" w:name="_Toc14254_WPSOffice_Level1"/>
      <w:bookmarkStart w:id="2" w:name="_Toc14020_WPSOffice_Level1"/>
      <w:bookmarkStart w:id="3" w:name="_Toc26734_WPSOffice_Level1"/>
      <w:r>
        <w:rPr>
          <w:rFonts w:hint="eastAsia" w:ascii="宋体" w:hAnsi="宋体" w:cs="宋体"/>
          <w:color w:val="1F2D3D"/>
          <w:sz w:val="44"/>
          <w:szCs w:val="44"/>
          <w:shd w:val="clear" w:color="auto" w:fill="FFFFFF"/>
          <w:lang w:val="en-US" w:eastAsia="zh-CN"/>
        </w:rPr>
        <w:t xml:space="preserve">       </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u w:val="none"/>
          <w:lang w:val="en-US" w:eastAsia="zh-CN"/>
        </w:rPr>
      </w:pPr>
      <w:bookmarkStart w:id="4" w:name="_Toc22974"/>
      <w:bookmarkStart w:id="5" w:name="_Toc1428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杭新景(杭千)高速公路2025年交安设施提升工程</w:t>
      </w: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10258"/>
      <w:bookmarkStart w:id="7" w:name="_Toc25116"/>
      <w:r>
        <w:rPr>
          <w:rFonts w:hint="eastAsia" w:ascii="宋体" w:hAnsi="宋体" w:cs="宋体"/>
          <w:sz w:val="44"/>
          <w:szCs w:val="44"/>
          <w:lang w:val="en-US" w:eastAsia="zh-CN"/>
        </w:rPr>
        <w:t>钢护栏螺栓采购</w:t>
      </w:r>
      <w:r>
        <w:rPr>
          <w:rFonts w:hint="eastAsia" w:ascii="宋体" w:hAnsi="宋体" w:eastAsia="宋体" w:cs="宋体"/>
          <w:sz w:val="44"/>
          <w:szCs w:val="44"/>
          <w:lang w:val="en-US" w:eastAsia="zh-CN"/>
        </w:rPr>
        <w:t>公开选择文件</w:t>
      </w:r>
      <w:bookmarkEnd w:id="6"/>
      <w:bookmarkEnd w:id="7"/>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1523"/>
      <w:bookmarkStart w:id="9" w:name="_Toc32028"/>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5779"/>
      <w:bookmarkStart w:id="11" w:name="_Toc3932"/>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5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28720"/>
      <w:bookmarkStart w:id="13" w:name="_Toc17763"/>
      <w:r>
        <w:rPr>
          <w:rFonts w:hint="eastAsia" w:ascii="宋体" w:hAnsi="宋体" w:cs="宋体"/>
          <w:bCs w:val="0"/>
          <w:snapToGrid w:val="0"/>
          <w:kern w:val="0"/>
          <w:sz w:val="32"/>
          <w:lang w:eastAsia="zh-CN"/>
        </w:rPr>
        <w:t>目  录</w:t>
      </w:r>
      <w:bookmarkEnd w:id="12"/>
      <w:bookmarkEnd w:id="13"/>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2404"/>
      <w:bookmarkStart w:id="15"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8095"/>
      <w:bookmarkStart w:id="17" w:name="_Toc28479"/>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8188"/>
      <w:bookmarkStart w:id="21" w:name="_Toc20879"/>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7919"/>
      <w:bookmarkStart w:id="23" w:name="_Toc15145"/>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5478"/>
      <w:bookmarkStart w:id="25" w:name="_Toc32386"/>
      <w:bookmarkStart w:id="26" w:name="_Toc18451"/>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杭新景（杭千）高速公路2025年交安设施提升工程钢护栏螺栓采购</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16463"/>
      <w:bookmarkStart w:id="30" w:name="_Toc22892"/>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064D5702">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z w:val="21"/>
          <w:szCs w:val="21"/>
          <w:u w:val="none"/>
          <w:lang w:val="en-US" w:eastAsia="zh-CN"/>
        </w:rPr>
      </w:pPr>
      <w:bookmarkStart w:id="31" w:name="_Toc18006"/>
      <w:bookmarkStart w:id="32" w:name="_Toc11391"/>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1"/>
      <w:bookmarkEnd w:id="32"/>
      <w:bookmarkEnd w:id="33"/>
      <w:r>
        <w:rPr>
          <w:rFonts w:hint="eastAsia" w:asciiTheme="minorEastAsia" w:hAnsiTheme="minorEastAsia" w:eastAsiaTheme="minorEastAsia" w:cstheme="minorEastAsia"/>
          <w:sz w:val="21"/>
          <w:szCs w:val="21"/>
          <w:u w:val="none"/>
          <w:lang w:val="en-US" w:eastAsia="zh-CN"/>
        </w:rPr>
        <w:t>杭新景（杭千）高速公路是连通杭州与金华、衡州、江西以及皖南等地区的重要通道，长 95.205 公里；溧宁高速公路为淳安县至龙游，路线长 62.053 公里；杭长高速为建德大同至杨村桥，路线全长 63.136 公里；千黄高速公路（淳安段）路线起点以隧道形式接在建千黄高速公路（安徽段），终点至青溪立交桥，采用双向四车道高速公路工程技术标准。</w:t>
      </w:r>
    </w:p>
    <w:p w14:paraId="29D14837">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路基段提升改造的主要内容为:主线路侧护栏改造62232m（包含路基分离中侧护栏）；主线中央分隔带护栏改造1188m（包含中央开口埠）；互通匝道护栏改造7552m（包含匝道路侧改造，收费站两侧匝道护栏改造）；路中护栏与桥梁混凝土护栏连接过渡段改造 56 处。</w:t>
      </w:r>
    </w:p>
    <w:p w14:paraId="41D93F23">
      <w:pPr>
        <w:keepNext w:val="0"/>
        <w:keepLines w:val="0"/>
        <w:pageBreakBefore w:val="0"/>
        <w:numPr>
          <w:ilvl w:val="0"/>
          <w:numId w:val="0"/>
        </w:numPr>
        <w:kinsoku/>
        <w:wordWrap/>
        <w:overflowPunct/>
        <w:topLinePunct w:val="0"/>
        <w:autoSpaceDE/>
        <w:autoSpaceDN/>
        <w:bidi w:val="0"/>
        <w:adjustRightInd/>
        <w:spacing w:before="0" w:line="432" w:lineRule="auto"/>
        <w:ind w:firstLine="418" w:firstLineChars="200"/>
        <w:textAlignment w:val="auto"/>
        <w:outlineLvl w:val="0"/>
        <w:rPr>
          <w:rFonts w:hint="eastAsia" w:asciiTheme="minorEastAsia" w:hAnsiTheme="minorEastAsia" w:eastAsiaTheme="minorEastAsia" w:cstheme="minorEastAsia"/>
          <w:color w:val="auto"/>
          <w:spacing w:val="-1"/>
          <w:sz w:val="21"/>
          <w:szCs w:val="21"/>
          <w:lang w:val="en-US" w:eastAsia="zh-CN"/>
        </w:rPr>
      </w:pPr>
      <w:bookmarkStart w:id="34" w:name="_Toc19196"/>
      <w:bookmarkStart w:id="35" w:name="_Toc20417"/>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bookmarkStart w:id="36" w:name="_Toc4103"/>
      <w:bookmarkStart w:id="37" w:name="_Toc30903"/>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r>
        <w:rPr>
          <w:rFonts w:hint="eastAsia" w:asciiTheme="minorEastAsia" w:hAnsiTheme="minorEastAsia" w:eastAsiaTheme="minorEastAsia" w:cstheme="minorEastAsia"/>
          <w:color w:val="auto"/>
          <w:spacing w:val="-1"/>
          <w:sz w:val="21"/>
          <w:szCs w:val="21"/>
          <w:lang w:val="en-US" w:eastAsia="zh-CN"/>
        </w:rPr>
        <w:t>（1）送货地点：</w:t>
      </w:r>
      <w:r>
        <w:rPr>
          <w:rFonts w:hint="eastAsia" w:asciiTheme="minorEastAsia" w:hAnsiTheme="minorEastAsia" w:eastAsiaTheme="minorEastAsia" w:cstheme="minorEastAsia"/>
          <w:color w:val="auto"/>
          <w:spacing w:val="-1"/>
          <w:sz w:val="21"/>
          <w:szCs w:val="21"/>
          <w:u w:val="none"/>
          <w:lang w:val="en-US" w:eastAsia="zh-CN"/>
        </w:rPr>
        <w:t>杭州地区，选择人指定地点。</w:t>
      </w:r>
      <w:bookmarkEnd w:id="36"/>
      <w:bookmarkEnd w:id="37"/>
    </w:p>
    <w:p w14:paraId="6BB1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bookmarkStart w:id="38" w:name="_Toc30606"/>
      <w:bookmarkStart w:id="39" w:name="_Toc3055"/>
      <w:r>
        <w:rPr>
          <w:rFonts w:hint="eastAsia" w:asciiTheme="minorEastAsia" w:hAnsiTheme="minorEastAsia" w:eastAsiaTheme="minorEastAsia" w:cstheme="minorEastAsia"/>
          <w:snapToGrid w:val="0"/>
          <w:kern w:val="0"/>
          <w:sz w:val="21"/>
          <w:szCs w:val="21"/>
          <w:lang w:val="en-US" w:eastAsia="zh-CN"/>
        </w:rPr>
        <w:t>（2）材料质量要求</w:t>
      </w:r>
      <w:bookmarkEnd w:id="38"/>
      <w:bookmarkEnd w:id="39"/>
    </w:p>
    <w:p w14:paraId="2BFC7D1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①响应人</w:t>
      </w:r>
      <w:r>
        <w:rPr>
          <w:rFonts w:hint="default" w:asciiTheme="minorEastAsia" w:hAnsiTheme="minorEastAsia" w:eastAsiaTheme="minorEastAsia" w:cstheme="minorEastAsia"/>
          <w:snapToGrid w:val="0"/>
          <w:kern w:val="0"/>
          <w:sz w:val="21"/>
          <w:szCs w:val="21"/>
          <w:lang w:val="en-US" w:eastAsia="zh-CN"/>
        </w:rPr>
        <w:t>提供材料质量应同时达到国家标准、行业标准、地方标准，且满足建设单位</w:t>
      </w:r>
      <w:r>
        <w:rPr>
          <w:rFonts w:hint="eastAsia" w:asciiTheme="minorEastAsia" w:hAnsiTheme="minorEastAsia" w:eastAsiaTheme="minorEastAsia" w:cstheme="minorEastAsia"/>
          <w:snapToGrid w:val="0"/>
          <w:kern w:val="0"/>
          <w:sz w:val="21"/>
          <w:szCs w:val="21"/>
          <w:lang w:val="en-US" w:eastAsia="zh-CN"/>
        </w:rPr>
        <w:t>、</w:t>
      </w:r>
      <w:r>
        <w:rPr>
          <w:rFonts w:hint="default" w:asciiTheme="minorEastAsia" w:hAnsiTheme="minorEastAsia" w:eastAsiaTheme="minorEastAsia" w:cstheme="minorEastAsia"/>
          <w:snapToGrid w:val="0"/>
          <w:kern w:val="0"/>
          <w:sz w:val="21"/>
          <w:szCs w:val="21"/>
          <w:lang w:val="en-US" w:eastAsia="zh-CN"/>
        </w:rPr>
        <w:t>及国家现行相关技术规范的各项技术要求，若在合同履行过程中遇到国家、行业、地方标准及国家现行相关技术规范调整，则按照调整后的新标准、规范执行</w:t>
      </w:r>
      <w:r>
        <w:rPr>
          <w:rFonts w:hint="eastAsia" w:asciiTheme="minorEastAsia" w:hAnsiTheme="minorEastAsia" w:eastAsiaTheme="minorEastAsia" w:cstheme="minorEastAsia"/>
          <w:snapToGrid w:val="0"/>
          <w:kern w:val="0"/>
          <w:sz w:val="21"/>
          <w:szCs w:val="21"/>
          <w:lang w:val="en-US" w:eastAsia="zh-CN"/>
        </w:rPr>
        <w:t>。</w:t>
      </w:r>
    </w:p>
    <w:p w14:paraId="672349FC">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②连接螺栓、螺母、垫圈等所用基底金属材料均为</w:t>
      </w:r>
      <w:r>
        <w:rPr>
          <w:rFonts w:hint="eastAsia" w:asciiTheme="minorEastAsia" w:hAnsiTheme="minorEastAsia" w:eastAsiaTheme="minorEastAsia" w:cstheme="minorEastAsia"/>
          <w:snapToGrid w:val="0"/>
          <w:color w:val="auto"/>
          <w:kern w:val="0"/>
          <w:sz w:val="21"/>
          <w:szCs w:val="21"/>
          <w:lang w:val="en-US" w:eastAsia="zh-CN"/>
        </w:rPr>
        <w:t>合金结构钢</w:t>
      </w:r>
      <w:r>
        <w:rPr>
          <w:rFonts w:hint="eastAsia" w:asciiTheme="minorEastAsia" w:hAnsiTheme="minorEastAsia" w:eastAsiaTheme="minorEastAsia" w:cstheme="minorEastAsia"/>
          <w:snapToGrid w:val="0"/>
          <w:kern w:val="0"/>
          <w:sz w:val="21"/>
          <w:szCs w:val="21"/>
          <w:lang w:val="en-US" w:eastAsia="zh-CN"/>
        </w:rPr>
        <w:t>，性能等级需符合《紧固件机械性能 螺栓、螺钉和螺柱》(GB/T 3098.1-2010)的相关机械或物理性能要求。</w:t>
      </w:r>
    </w:p>
    <w:p w14:paraId="1C3A5248">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napToGrid w:val="0"/>
          <w:kern w:val="0"/>
          <w:sz w:val="21"/>
          <w:szCs w:val="21"/>
          <w:lang w:val="en-US" w:eastAsia="zh-CN"/>
        </w:rPr>
      </w:pPr>
      <w:bookmarkStart w:id="40" w:name="_Toc24181"/>
      <w:bookmarkStart w:id="41" w:name="_Toc16711"/>
      <w:r>
        <w:rPr>
          <w:rFonts w:hint="eastAsia" w:asciiTheme="minorEastAsia" w:hAnsiTheme="minorEastAsia" w:eastAsiaTheme="minorEastAsia" w:cstheme="minorEastAsia"/>
          <w:snapToGrid w:val="0"/>
          <w:kern w:val="0"/>
          <w:sz w:val="21"/>
          <w:szCs w:val="21"/>
          <w:lang w:val="en-US" w:eastAsia="zh-CN"/>
        </w:rPr>
        <w:t>③拼接螺栓应为高强度拼接螺栓，其螺栓、螺母、垫圈应选用</w:t>
      </w:r>
      <w:r>
        <w:rPr>
          <w:rFonts w:hint="eastAsia" w:asciiTheme="minorEastAsia" w:hAnsiTheme="minorEastAsia" w:eastAsiaTheme="minorEastAsia" w:cstheme="minorEastAsia"/>
          <w:snapToGrid w:val="0"/>
          <w:color w:val="auto"/>
          <w:kern w:val="0"/>
          <w:sz w:val="21"/>
          <w:szCs w:val="21"/>
          <w:lang w:val="en-US" w:eastAsia="zh-CN"/>
        </w:rPr>
        <w:t>合金结构钢</w:t>
      </w:r>
      <w:r>
        <w:rPr>
          <w:rFonts w:hint="eastAsia" w:asciiTheme="minorEastAsia" w:hAnsiTheme="minorEastAsia" w:eastAsiaTheme="minorEastAsia" w:cstheme="minorEastAsia"/>
          <w:snapToGrid w:val="0"/>
          <w:kern w:val="0"/>
          <w:sz w:val="21"/>
          <w:szCs w:val="21"/>
          <w:lang w:val="en-US" w:eastAsia="zh-CN"/>
        </w:rPr>
        <w:t>制造,其化学成分及力学性能应符合 GB/T 699或 GB/T 3077的规定，高强度拼接螺栓连接副螺栓杆公径为16mm，等级为10.9级，拼接螺栓连接副整体抗拉荷载不小于163KN。</w:t>
      </w:r>
    </w:p>
    <w:p w14:paraId="68873C76">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④高强钢轻量化护栏采用的螺栓均采用特制的防盗螺栓。</w:t>
      </w:r>
    </w:p>
    <w:p w14:paraId="066A87CC">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⑤螺栓、螺母等紧固件在采用热浸镀锌后，必须清理螺纹或进行离心分离处理，螺栓、螺母、垫圈镀锌量要求为350g/㎡。</w:t>
      </w:r>
    </w:p>
    <w:p w14:paraId="49ED2817">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⑥</w:t>
      </w:r>
      <w:r>
        <w:rPr>
          <w:rFonts w:hint="eastAsia" w:asciiTheme="minorEastAsia" w:hAnsiTheme="minorEastAsia" w:eastAsiaTheme="minorEastAsia" w:cstheme="minorEastAsia"/>
          <w:color w:val="auto"/>
          <w:spacing w:val="-1"/>
          <w:sz w:val="21"/>
          <w:szCs w:val="21"/>
          <w:lang w:val="en-US" w:eastAsia="zh-CN"/>
        </w:rPr>
        <w:t>其它要求:</w:t>
      </w:r>
      <w:r>
        <w:rPr>
          <w:rFonts w:hint="eastAsia" w:asciiTheme="minorEastAsia" w:hAnsiTheme="minorEastAsia" w:eastAsiaTheme="minorEastAsia" w:cstheme="minorEastAsia"/>
          <w:snapToGrid w:val="0"/>
          <w:kern w:val="0"/>
          <w:sz w:val="21"/>
          <w:szCs w:val="21"/>
          <w:lang w:val="en-US" w:eastAsia="zh-CN"/>
        </w:rPr>
        <w:t>详见交通部颁《公路交通安全设施设计细则》(JTG/T D81 -2017)、《公路交通安全设施施工技术规范》(JTG／T 3671—2021)、</w:t>
      </w:r>
      <w:r>
        <w:rPr>
          <w:rFonts w:hint="eastAsia" w:asciiTheme="minorEastAsia" w:hAnsiTheme="minorEastAsia" w:eastAsiaTheme="minorEastAsia" w:cstheme="minorEastAsia"/>
          <w:b w:val="0"/>
          <w:bCs w:val="0"/>
          <w:color w:val="auto"/>
          <w:spacing w:val="-1"/>
          <w:sz w:val="21"/>
          <w:szCs w:val="21"/>
          <w:u w:val="none"/>
          <w:lang w:val="en-US" w:eastAsia="zh-CN"/>
        </w:rPr>
        <w:t>杭新景（杭千）高速公路2025年交安设施提升工程施工图设计等相关规范、文件资料</w:t>
      </w:r>
      <w:r>
        <w:rPr>
          <w:rFonts w:hint="eastAsia" w:asciiTheme="minorEastAsia" w:hAnsiTheme="minorEastAsia" w:eastAsiaTheme="minorEastAsia" w:cstheme="minorEastAsia"/>
          <w:snapToGrid w:val="0"/>
          <w:kern w:val="0"/>
          <w:sz w:val="21"/>
          <w:szCs w:val="21"/>
          <w:lang w:val="en-US" w:eastAsia="zh-CN"/>
        </w:rPr>
        <w:t>。</w:t>
      </w:r>
    </w:p>
    <w:p w14:paraId="5992D890">
      <w:pPr>
        <w:numPr>
          <w:ilvl w:val="0"/>
          <w:numId w:val="0"/>
        </w:numPr>
        <w:spacing w:before="0" w:line="432" w:lineRule="auto"/>
        <w:outlineLvl w:val="0"/>
        <w:rPr>
          <w:rFonts w:hint="default" w:asciiTheme="minorEastAsia" w:hAnsiTheme="minorEastAsia" w:eastAsiaTheme="minorEastAsia" w:cstheme="minorEastAsia"/>
          <w:spacing w:val="-1"/>
          <w:szCs w:val="21"/>
          <w:lang w:val="en-US" w:eastAsia="zh-CN"/>
        </w:rPr>
      </w:pPr>
      <w:r>
        <w:rPr>
          <w:rFonts w:hint="eastAsia" w:asciiTheme="minorEastAsia" w:hAnsiTheme="minorEastAsia" w:eastAsiaTheme="minorEastAsia" w:cstheme="minorEastAsia"/>
          <w:spacing w:val="-1"/>
          <w:sz w:val="21"/>
          <w:szCs w:val="21"/>
          <w:lang w:val="en-US" w:eastAsia="zh-CN"/>
        </w:rPr>
        <w:t>（3）本次选择工程内容为：钢护栏螺栓采购，详见工程量清单。</w:t>
      </w:r>
      <w:bookmarkEnd w:id="40"/>
      <w:bookmarkEnd w:id="41"/>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Theme="minorEastAsia" w:hAnsiTheme="minorEastAsia" w:eastAsiaTheme="minorEastAsia" w:cstheme="minorEastAsia"/>
          <w:snapToGrid w:val="0"/>
          <w:kern w:val="0"/>
          <w:sz w:val="21"/>
          <w:szCs w:val="21"/>
          <w:lang w:val="en-US" w:eastAsia="zh-CN"/>
        </w:rPr>
      </w:pPr>
      <w:bookmarkStart w:id="42" w:name="_Toc12501"/>
      <w:bookmarkStart w:id="43" w:name="_Toc32396"/>
      <w:r>
        <w:rPr>
          <w:rFonts w:hint="eastAsia" w:ascii="仿宋" w:hAnsi="仿宋" w:eastAsia="仿宋" w:cs="仿宋_GB2312"/>
          <w:b/>
          <w:bCs/>
          <w:spacing w:val="0"/>
          <w:sz w:val="24"/>
          <w:szCs w:val="24"/>
          <w:lang w:val="en-US" w:eastAsia="zh-CN"/>
        </w:rPr>
        <w:t>二、送货期：</w:t>
      </w:r>
      <w:r>
        <w:rPr>
          <w:rFonts w:hint="eastAsia" w:asciiTheme="minorEastAsia" w:hAnsiTheme="minorEastAsia" w:eastAsiaTheme="minorEastAsia" w:cstheme="minorEastAsia"/>
          <w:snapToGrid w:val="0"/>
          <w:kern w:val="0"/>
          <w:sz w:val="21"/>
          <w:szCs w:val="21"/>
          <w:lang w:val="en-US" w:eastAsia="zh-CN"/>
        </w:rPr>
        <w:t>2025年5月-2025年12月(具体以选择人通知时间或合同签订为准)。</w:t>
      </w:r>
      <w:bookmarkEnd w:id="42"/>
      <w:bookmarkEnd w:id="43"/>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4" w:name="_Toc13899"/>
      <w:bookmarkStart w:id="45" w:name="_Toc13532"/>
      <w:r>
        <w:rPr>
          <w:rFonts w:hint="eastAsia" w:ascii="仿宋" w:hAnsi="仿宋" w:eastAsia="仿宋" w:cs="仿宋_GB2312"/>
          <w:b/>
          <w:bCs/>
          <w:spacing w:val="0"/>
          <w:sz w:val="24"/>
          <w:szCs w:val="24"/>
          <w:lang w:val="en-US" w:eastAsia="zh-CN"/>
        </w:rPr>
        <w:t>三、响应人资格条件</w:t>
      </w:r>
      <w:bookmarkEnd w:id="44"/>
      <w:bookmarkEnd w:id="45"/>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 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营业执照包含此次采购相关内容。</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w:t>
      </w:r>
      <w:r>
        <w:rPr>
          <w:rFonts w:hint="eastAsia" w:asciiTheme="minorEastAsia" w:hAnsiTheme="minorEastAsia" w:eastAsiaTheme="minorEastAsia" w:cstheme="minorEastAsia"/>
          <w:snapToGrid w:val="0"/>
          <w:kern w:val="0"/>
          <w:sz w:val="21"/>
          <w:szCs w:val="21"/>
          <w:lang w:val="en-US" w:eastAsia="zh-CN"/>
        </w:rPr>
        <w:t>无</w:t>
      </w:r>
      <w:r>
        <w:rPr>
          <w:rFonts w:hint="eastAsia" w:asciiTheme="minorEastAsia" w:hAnsiTheme="minorEastAsia" w:eastAsiaTheme="minorEastAsia" w:cstheme="minorEastAsia"/>
          <w:snapToGrid w:val="0"/>
          <w:kern w:val="0"/>
          <w:sz w:val="21"/>
          <w:szCs w:val="21"/>
        </w:rPr>
        <w:t>。</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无</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lang w:val="en-US" w:eastAsia="zh-CN"/>
        </w:rPr>
        <w:t>2、</w:t>
      </w:r>
      <w:r>
        <w:rPr>
          <w:rFonts w:hint="eastAsia" w:asciiTheme="minorEastAsia" w:hAnsiTheme="minorEastAsia" w:eastAsiaTheme="minorEastAsia" w:cstheme="minorEastAsia"/>
          <w:snapToGrid w:val="0"/>
          <w:kern w:val="0"/>
          <w:sz w:val="21"/>
          <w:szCs w:val="21"/>
          <w:lang w:val="en-US" w:eastAsia="zh-CN"/>
        </w:rPr>
        <w:t>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imes New Roman" w:hAnsi="Times New Roman" w:eastAsia="宋体" w:cs="Times New Roman"/>
          <w:snapToGrid/>
          <w:kern w:val="2"/>
          <w:sz w:val="21"/>
          <w:szCs w:val="24"/>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20290"/>
      <w:bookmarkStart w:id="47" w:name="_Toc24795"/>
      <w:r>
        <w:rPr>
          <w:rFonts w:hint="eastAsia" w:ascii="仿宋" w:hAnsi="仿宋" w:eastAsia="仿宋" w:cs="仿宋_GB2312"/>
          <w:b/>
          <w:bCs/>
          <w:spacing w:val="0"/>
          <w:sz w:val="24"/>
          <w:szCs w:val="24"/>
          <w:lang w:val="en-US" w:eastAsia="zh-CN"/>
        </w:rPr>
        <w:t>四、选择文件的获取（网上下载）</w:t>
      </w:r>
      <w:bookmarkEnd w:id="46"/>
      <w:bookmarkEnd w:id="47"/>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spacing w:val="0"/>
          <w:kern w:val="0"/>
          <w:sz w:val="21"/>
          <w:szCs w:val="21"/>
        </w:rPr>
        <w:t>本项目</w:t>
      </w:r>
      <w:r>
        <w:rPr>
          <w:rFonts w:hint="eastAsia" w:asciiTheme="minorEastAsia" w:hAnsiTheme="minorEastAsia" w:eastAsiaTheme="minorEastAsia" w:cstheme="minorEastAsia"/>
          <w:snapToGrid w:val="0"/>
          <w:spacing w:val="0"/>
          <w:kern w:val="0"/>
          <w:sz w:val="21"/>
          <w:szCs w:val="21"/>
          <w:lang w:val="en-US" w:eastAsia="zh-CN"/>
        </w:rPr>
        <w:t>选择文件</w:t>
      </w:r>
      <w:r>
        <w:rPr>
          <w:rFonts w:hint="eastAsia" w:asciiTheme="minorEastAsia" w:hAnsiTheme="minorEastAsia" w:eastAsiaTheme="minorEastAsia" w:cstheme="minorEastAsia"/>
          <w:snapToGrid w:val="0"/>
          <w:spacing w:val="0"/>
          <w:kern w:val="0"/>
          <w:sz w:val="21"/>
          <w:szCs w:val="21"/>
        </w:rPr>
        <w:t xml:space="preserve"> </w:t>
      </w:r>
      <w:r>
        <w:rPr>
          <w:rFonts w:hint="eastAsia" w:asciiTheme="minorEastAsia" w:hAnsiTheme="minorEastAsia" w:eastAsiaTheme="minorEastAsia" w:cstheme="minorEastAsia"/>
          <w:snapToGrid w:val="0"/>
          <w:kern w:val="0"/>
          <w:sz w:val="21"/>
          <w:szCs w:val="21"/>
        </w:rPr>
        <w:t>(补充、澄清、修改文件) 以网</w:t>
      </w:r>
      <w:r>
        <w:rPr>
          <w:rFonts w:hint="eastAsia" w:asciiTheme="minorEastAsia" w:hAnsiTheme="minorEastAsia" w:eastAsiaTheme="minorEastAsia" w:cstheme="minorEastAsia"/>
          <w:snapToGrid w:val="0"/>
          <w:kern w:val="0"/>
          <w:sz w:val="21"/>
          <w:szCs w:val="21"/>
          <w:lang w:val="en-US" w:eastAsia="zh-CN"/>
        </w:rPr>
        <w:t>上</w:t>
      </w:r>
      <w:r>
        <w:rPr>
          <w:rFonts w:hint="eastAsia" w:asciiTheme="minorEastAsia" w:hAnsiTheme="minorEastAsia" w:eastAsiaTheme="minorEastAsia" w:cstheme="minorEastAsia"/>
          <w:snapToGrid w:val="0"/>
          <w:kern w:val="0"/>
          <w:sz w:val="21"/>
          <w:szCs w:val="21"/>
        </w:rPr>
        <w:t>下载方</w:t>
      </w:r>
      <w:r>
        <w:rPr>
          <w:rFonts w:hint="eastAsia" w:asciiTheme="minorEastAsia" w:hAnsiTheme="minorEastAsia" w:eastAsiaTheme="minorEastAsia" w:cstheme="minorEastAsia"/>
          <w:snapToGrid w:val="0"/>
          <w:spacing w:val="0"/>
          <w:kern w:val="0"/>
          <w:sz w:val="21"/>
          <w:szCs w:val="21"/>
        </w:rPr>
        <w:t>式发放。如需图纸请</w:t>
      </w:r>
      <w:r>
        <w:rPr>
          <w:rFonts w:hint="eastAsia" w:asciiTheme="minorEastAsia" w:hAnsiTheme="minorEastAsia" w:eastAsiaTheme="minorEastAsia" w:cstheme="minorEastAsia"/>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 w:val="21"/>
          <w:szCs w:val="21"/>
          <w:lang w:val="en-US" w:eastAsia="zh-CN"/>
        </w:rPr>
        <w:t>2、选择文件网上下载时间：</w:t>
      </w:r>
      <w:r>
        <w:rPr>
          <w:rFonts w:hint="eastAsia" w:asciiTheme="minorEastAsia" w:hAnsiTheme="minorEastAsia" w:eastAsiaTheme="minorEastAsia" w:cstheme="minorEastAsia"/>
          <w:bCs w:val="0"/>
          <w:snapToGrid w:val="0"/>
          <w:kern w:val="0"/>
          <w:sz w:val="21"/>
          <w:szCs w:val="21"/>
          <w:lang w:val="en-US" w:eastAsia="zh-CN"/>
        </w:rPr>
        <w:t>2025年5月21日</w:t>
      </w:r>
      <w:r>
        <w:rPr>
          <w:rFonts w:hint="eastAsia" w:asciiTheme="minorEastAsia" w:hAnsiTheme="minorEastAsia" w:eastAsiaTheme="minorEastAsia" w:cstheme="minorEastAsia"/>
          <w:bCs w:val="0"/>
          <w:snapToGrid w:val="0"/>
          <w:kern w:val="0"/>
          <w:sz w:val="21"/>
          <w:szCs w:val="21"/>
          <w:lang w:eastAsia="zh-CN"/>
        </w:rPr>
        <w:t>至</w:t>
      </w:r>
      <w:r>
        <w:rPr>
          <w:rFonts w:hint="eastAsia" w:asciiTheme="minorEastAsia" w:hAnsiTheme="minorEastAsia" w:eastAsiaTheme="minorEastAsia" w:cstheme="minorEastAsia"/>
          <w:bCs w:val="0"/>
          <w:snapToGrid w:val="0"/>
          <w:kern w:val="0"/>
          <w:sz w:val="21"/>
          <w:szCs w:val="21"/>
          <w:lang w:val="en-US" w:eastAsia="zh-CN"/>
        </w:rPr>
        <w:t>2025年5月26日。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spacing w:val="0"/>
          <w:kern w:val="0"/>
          <w:sz w:val="21"/>
          <w:szCs w:val="21"/>
        </w:rPr>
        <w:t>澄清、补充、修改等更正补</w:t>
      </w:r>
      <w:r>
        <w:rPr>
          <w:rFonts w:hint="eastAsia" w:asciiTheme="minorEastAsia" w:hAnsiTheme="minorEastAsia" w:eastAsiaTheme="minorEastAsia" w:cstheme="minorEastAsia"/>
          <w:snapToGrid w:val="0"/>
          <w:kern w:val="0"/>
          <w:sz w:val="21"/>
          <w:szCs w:val="21"/>
        </w:rPr>
        <w:t>充公告请自行登录杭州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snapToGrid w:val="0"/>
          <w:kern w:val="0"/>
          <w:sz w:val="21"/>
          <w:szCs w:val="21"/>
        </w:rPr>
        <w:t>(http://hzjtgdj.yesshang.cn/index.php</w:t>
      </w:r>
      <w:r>
        <w:rPr>
          <w:rFonts w:hint="eastAsia" w:asciiTheme="minorEastAsia" w:hAnsiTheme="minorEastAsia" w:eastAsiaTheme="minorEastAsia" w:cstheme="minorEastAsia"/>
          <w:snapToGrid w:val="0"/>
          <w:spacing w:val="0"/>
          <w:kern w:val="0"/>
          <w:sz w:val="21"/>
          <w:szCs w:val="21"/>
        </w:rPr>
        <w:t>)进行下载</w:t>
      </w:r>
      <w:r>
        <w:rPr>
          <w:rFonts w:hint="eastAsia" w:asciiTheme="minorEastAsia" w:hAnsiTheme="minorEastAsia" w:eastAsiaTheme="minorEastAsia" w:cstheme="minorEastAsia"/>
          <w:snapToGrid w:val="0"/>
          <w:kern w:val="0"/>
          <w:sz w:val="21"/>
          <w:szCs w:val="21"/>
        </w:rPr>
        <w:t>，不再另行通知。</w:t>
      </w:r>
    </w:p>
    <w:p w14:paraId="543A2096">
      <w:pPr>
        <w:widowControl/>
        <w:tabs>
          <w:tab w:val="left" w:pos="5580"/>
        </w:tabs>
        <w:autoSpaceDE w:val="0"/>
        <w:autoSpaceDN w:val="0"/>
        <w:adjustRightInd w:val="0"/>
        <w:spacing w:line="432" w:lineRule="auto"/>
        <w:ind w:left="0" w:firstLine="420" w:firstLineChars="200"/>
        <w:rPr>
          <w:rFonts w:hint="eastAsia" w:ascii="仿宋" w:hAnsi="仿宋" w:eastAsia="仿宋" w:cs="仿宋"/>
          <w:bCs/>
          <w:kern w:val="0"/>
          <w:sz w:val="24"/>
          <w:lang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bCs w:val="0"/>
          <w:snapToGrid w:val="0"/>
          <w:kern w:val="0"/>
          <w:sz w:val="21"/>
          <w:szCs w:val="21"/>
          <w:lang w:eastAsia="zh-CN"/>
        </w:rPr>
        <w:t>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人对</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文件有疑问的，</w:t>
      </w:r>
      <w:r>
        <w:rPr>
          <w:rFonts w:hint="eastAsia" w:asciiTheme="minorEastAsia" w:hAnsiTheme="minorEastAsia" w:eastAsiaTheme="minorEastAsia" w:cstheme="minorEastAsia"/>
          <w:bCs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color w:val="auto"/>
          <w:kern w:val="0"/>
          <w:sz w:val="21"/>
          <w:szCs w:val="21"/>
          <w:lang w:val="en-US" w:eastAsia="zh-CN"/>
        </w:rPr>
        <w:t>13282800863</w:t>
      </w:r>
      <w:r>
        <w:rPr>
          <w:rFonts w:hint="eastAsia" w:asciiTheme="minorEastAsia" w:hAnsiTheme="minorEastAsia" w:eastAsiaTheme="minorEastAsia" w:cstheme="minorEastAsia"/>
          <w:bCs w:val="0"/>
          <w:snapToGrid w:val="0"/>
          <w:kern w:val="0"/>
          <w:sz w:val="21"/>
          <w:szCs w:val="21"/>
          <w:lang w:val="en-US" w:eastAsia="zh-CN"/>
        </w:rPr>
        <w:t>）进行提问</w:t>
      </w:r>
      <w:r>
        <w:rPr>
          <w:rFonts w:hint="eastAsia" w:asciiTheme="minorEastAsia" w:hAnsiTheme="minorEastAsia" w:eastAsiaTheme="minorEastAsia" w:cstheme="minorEastAsia"/>
          <w:bCs w:val="0"/>
          <w:snapToGrid w:val="0"/>
          <w:kern w:val="0"/>
          <w:sz w:val="21"/>
          <w:szCs w:val="21"/>
          <w:lang w:eastAsia="zh-CN"/>
        </w:rPr>
        <w:t>。提交疑问截止日为2025年</w:t>
      </w:r>
      <w:r>
        <w:rPr>
          <w:rFonts w:hint="eastAsia" w:asciiTheme="minorEastAsia" w:hAnsiTheme="minorEastAsia" w:eastAsiaTheme="minorEastAsia" w:cstheme="minorEastAsia"/>
          <w:bCs w:val="0"/>
          <w:snapToGrid w:val="0"/>
          <w:kern w:val="0"/>
          <w:sz w:val="21"/>
          <w:szCs w:val="21"/>
          <w:lang w:val="en-US" w:eastAsia="zh-CN"/>
        </w:rPr>
        <w:t>5</w:t>
      </w:r>
      <w:r>
        <w:rPr>
          <w:rFonts w:hint="eastAsia" w:asciiTheme="minorEastAsia" w:hAnsiTheme="minorEastAsia" w:eastAsiaTheme="minorEastAsia" w:cstheme="minorEastAsia"/>
          <w:bCs w:val="0"/>
          <w:snapToGrid w:val="0"/>
          <w:kern w:val="0"/>
          <w:sz w:val="21"/>
          <w:szCs w:val="21"/>
          <w:lang w:eastAsia="zh-CN"/>
        </w:rPr>
        <w:t>月2</w:t>
      </w:r>
      <w:r>
        <w:rPr>
          <w:rFonts w:hint="eastAsia" w:asciiTheme="minorEastAsia" w:hAnsiTheme="minorEastAsia" w:eastAsiaTheme="minorEastAsia" w:cstheme="minorEastAsia"/>
          <w:bCs w:val="0"/>
          <w:snapToGrid w:val="0"/>
          <w:kern w:val="0"/>
          <w:sz w:val="21"/>
          <w:szCs w:val="21"/>
          <w:lang w:val="en-US" w:eastAsia="zh-CN"/>
        </w:rPr>
        <w:t>4</w:t>
      </w:r>
      <w:r>
        <w:rPr>
          <w:rFonts w:hint="eastAsia" w:asciiTheme="minorEastAsia" w:hAnsiTheme="minorEastAsia" w:eastAsiaTheme="minorEastAsia" w:cstheme="minorEastAsia"/>
          <w:bCs w:val="0"/>
          <w:snapToGrid w:val="0"/>
          <w:kern w:val="0"/>
          <w:sz w:val="21"/>
          <w:szCs w:val="21"/>
          <w:lang w:eastAsia="zh-CN"/>
        </w:rPr>
        <w:t>日17时00分。选择人将于2025年</w:t>
      </w:r>
      <w:r>
        <w:rPr>
          <w:rFonts w:hint="eastAsia" w:asciiTheme="minorEastAsia" w:hAnsiTheme="minorEastAsia" w:eastAsiaTheme="minorEastAsia" w:cstheme="minorEastAsia"/>
          <w:bCs w:val="0"/>
          <w:snapToGrid w:val="0"/>
          <w:kern w:val="0"/>
          <w:sz w:val="21"/>
          <w:szCs w:val="21"/>
          <w:lang w:val="en-US" w:eastAsia="zh-CN"/>
        </w:rPr>
        <w:t>5</w:t>
      </w:r>
      <w:r>
        <w:rPr>
          <w:rFonts w:hint="eastAsia" w:asciiTheme="minorEastAsia" w:hAnsiTheme="minorEastAsia" w:eastAsiaTheme="minorEastAsia" w:cstheme="minorEastAsia"/>
          <w:bCs w:val="0"/>
          <w:snapToGrid w:val="0"/>
          <w:kern w:val="0"/>
          <w:sz w:val="21"/>
          <w:szCs w:val="21"/>
          <w:lang w:eastAsia="zh-CN"/>
        </w:rPr>
        <w:t>月2</w:t>
      </w:r>
      <w:r>
        <w:rPr>
          <w:rFonts w:hint="eastAsia" w:asciiTheme="minorEastAsia" w:hAnsiTheme="minorEastAsia" w:eastAsiaTheme="minorEastAsia" w:cstheme="minorEastAsia"/>
          <w:bCs w:val="0"/>
          <w:snapToGrid w:val="0"/>
          <w:kern w:val="0"/>
          <w:sz w:val="21"/>
          <w:szCs w:val="21"/>
          <w:lang w:val="en-US" w:eastAsia="zh-CN"/>
        </w:rPr>
        <w:t>5</w:t>
      </w:r>
      <w:r>
        <w:rPr>
          <w:rFonts w:hint="eastAsia" w:asciiTheme="minorEastAsia" w:hAnsiTheme="minorEastAsia" w:eastAsiaTheme="minorEastAsia" w:cstheme="minorEastAsia"/>
          <w:bCs w:val="0"/>
          <w:snapToGrid w:val="0"/>
          <w:kern w:val="0"/>
          <w:sz w:val="21"/>
          <w:szCs w:val="21"/>
          <w:lang w:eastAsia="zh-CN"/>
        </w:rPr>
        <w:t>日17时00分前，在</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bCs w:val="0"/>
          <w:snapToGrid w:val="0"/>
          <w:kern w:val="0"/>
          <w:sz w:val="21"/>
          <w:szCs w:val="21"/>
          <w:lang w:eastAsia="zh-CN"/>
        </w:rPr>
        <w:t>上发布补充（答疑、澄清）文件。潜在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人应自行关注上述网站公告，</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人不再一一通知。</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人因自身贻误行为导致</w:t>
      </w:r>
      <w:r>
        <w:rPr>
          <w:rFonts w:hint="eastAsia" w:asciiTheme="minorEastAsia" w:hAnsiTheme="minorEastAsia" w:eastAsiaTheme="minorEastAsia" w:cstheme="minorEastAsia"/>
          <w:bCs w:val="0"/>
          <w:snapToGrid w:val="0"/>
          <w:kern w:val="0"/>
          <w:sz w:val="21"/>
          <w:szCs w:val="21"/>
          <w:lang w:val="en-US" w:eastAsia="zh-CN"/>
        </w:rPr>
        <w:t>报价</w:t>
      </w:r>
      <w:r>
        <w:rPr>
          <w:rFonts w:hint="eastAsia" w:asciiTheme="minorEastAsia" w:hAnsiTheme="minorEastAsia" w:eastAsiaTheme="minorEastAsia" w:cstheme="minorEastAsia"/>
          <w:bCs w:val="0"/>
          <w:snapToGrid w:val="0"/>
          <w:kern w:val="0"/>
          <w:sz w:val="21"/>
          <w:szCs w:val="21"/>
          <w:lang w:eastAsia="zh-CN"/>
        </w:rPr>
        <w:t>失败的，责任自负。</w:t>
      </w:r>
    </w:p>
    <w:p w14:paraId="59C4261B">
      <w:pPr>
        <w:keepNext w:val="0"/>
        <w:keepLines w:val="0"/>
        <w:pageBreakBefore w:val="0"/>
        <w:widowControl w:val="0"/>
        <w:numPr>
          <w:ilvl w:val="0"/>
          <w:numId w:val="1"/>
        </w:numPr>
        <w:kinsoku/>
        <w:wordWrap/>
        <w:overflowPunct/>
        <w:topLinePunct w:val="0"/>
        <w:autoSpaceDE/>
        <w:autoSpaceDN/>
        <w:bidi w:val="0"/>
        <w:adjustRightInd/>
        <w:spacing w:before="0" w:line="432"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48" w:name="_Toc24131"/>
      <w:bookmarkStart w:id="49" w:name="_Toc28929"/>
      <w:r>
        <w:rPr>
          <w:rFonts w:hint="eastAsia" w:asciiTheme="minorEastAsia" w:hAnsiTheme="minorEastAsia" w:eastAsiaTheme="minorEastAsia" w:cstheme="minorEastAsia"/>
          <w:b/>
          <w:bCs/>
          <w:spacing w:val="-1"/>
          <w:sz w:val="21"/>
          <w:szCs w:val="21"/>
          <w:lang w:val="en-US" w:eastAsia="zh-CN"/>
        </w:rPr>
        <w:t>选择活动评审专家费</w:t>
      </w:r>
      <w:bookmarkEnd w:id="48"/>
      <w:bookmarkEnd w:id="49"/>
    </w:p>
    <w:p w14:paraId="63082D99">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0" w:name="_Toc9459"/>
      <w:bookmarkStart w:id="51" w:name="_Toc32293"/>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0"/>
      <w:bookmarkEnd w:id="51"/>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5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27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30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b w:val="0"/>
          <w:bCs w:val="0"/>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6B113F5D">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eastAsia" w:asciiTheme="minorEastAsia" w:hAnsiTheme="minorEastAsia" w:eastAsiaTheme="minorEastAsia" w:cstheme="minorEastAsia"/>
          <w:color w:val="auto"/>
          <w:spacing w:val="-1"/>
          <w:sz w:val="21"/>
          <w:szCs w:val="21"/>
          <w:lang w:val="en-US" w:eastAsia="zh-CN"/>
        </w:rPr>
      </w:pPr>
      <w:bookmarkStart w:id="52" w:name="_Toc28676"/>
      <w:bookmarkStart w:id="53" w:name="_Toc12696"/>
      <w:r>
        <w:rPr>
          <w:rFonts w:hint="eastAsia" w:asciiTheme="minorEastAsia" w:hAnsiTheme="minorEastAsia" w:eastAsiaTheme="minorEastAsia" w:cstheme="minorEastAsia"/>
          <w:b/>
          <w:bCs/>
          <w:color w:val="auto"/>
          <w:spacing w:val="-1"/>
          <w:sz w:val="21"/>
          <w:szCs w:val="21"/>
          <w:lang w:val="en-US" w:eastAsia="zh-CN"/>
        </w:rPr>
        <w:t>七、发布公告的媒介</w:t>
      </w:r>
      <w:bookmarkEnd w:id="52"/>
      <w:bookmarkEnd w:id="53"/>
      <w:r>
        <w:rPr>
          <w:rFonts w:hint="eastAsia" w:asciiTheme="minorEastAsia" w:hAnsiTheme="minorEastAsia" w:eastAsiaTheme="minorEastAsia" w:cstheme="minorEastAsia"/>
          <w:b/>
          <w:bCs/>
          <w:color w:val="auto"/>
          <w:spacing w:val="-1"/>
          <w:sz w:val="21"/>
          <w:szCs w:val="21"/>
          <w:lang w:val="en-US" w:eastAsia="zh-CN"/>
        </w:rPr>
        <w:t>：</w:t>
      </w:r>
      <w:r>
        <w:rPr>
          <w:rFonts w:hint="eastAsia" w:asciiTheme="minorEastAsia" w:hAnsiTheme="minorEastAsia" w:eastAsiaTheme="minorEastAsia" w:cstheme="minorEastAsia"/>
          <w:color w:val="auto"/>
          <w:spacing w:val="-1"/>
          <w:sz w:val="21"/>
          <w:szCs w:val="21"/>
          <w:lang w:val="en-US" w:eastAsia="zh-CN"/>
        </w:rPr>
        <w:t>养护公司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color w:val="auto"/>
          <w:spacing w:val="-1"/>
          <w:sz w:val="21"/>
          <w:szCs w:val="21"/>
          <w:lang w:val="en-US" w:eastAsia="zh-CN"/>
        </w:rPr>
      </w:pPr>
      <w:bookmarkStart w:id="54" w:name="_Toc20792"/>
      <w:bookmarkStart w:id="55" w:name="_Toc15666"/>
      <w:r>
        <w:rPr>
          <w:rFonts w:hint="eastAsia" w:asciiTheme="minorEastAsia" w:hAnsiTheme="minorEastAsia" w:eastAsiaTheme="minorEastAsia" w:cstheme="minorEastAsia"/>
          <w:b/>
          <w:bCs/>
          <w:color w:val="auto"/>
          <w:spacing w:val="-1"/>
          <w:sz w:val="21"/>
          <w:szCs w:val="21"/>
          <w:lang w:val="en-US" w:eastAsia="zh-CN"/>
        </w:rPr>
        <w:t>八、联系方式</w:t>
      </w:r>
      <w:bookmarkEnd w:id="54"/>
      <w:bookmarkEnd w:id="55"/>
      <w:r>
        <w:rPr>
          <w:rFonts w:hint="eastAsia" w:asciiTheme="minorEastAsia" w:hAnsiTheme="minorEastAsia" w:eastAsiaTheme="minorEastAsia" w:cstheme="minorEastAsia"/>
          <w:b/>
          <w:bCs/>
          <w:color w:val="auto"/>
          <w:spacing w:val="-1"/>
          <w:sz w:val="21"/>
          <w:szCs w:val="21"/>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38C09362">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r>
        <w:rPr>
          <w:rFonts w:hint="eastAsia" w:asciiTheme="minorEastAsia" w:hAnsiTheme="minorEastAsia" w:eastAsiaTheme="minorEastAsia" w:cstheme="minorEastAsia"/>
          <w:color w:val="auto"/>
          <w:spacing w:val="-1"/>
          <w:sz w:val="21"/>
          <w:szCs w:val="21"/>
          <w:u w:val="none"/>
          <w:lang w:val="en-US" w:eastAsia="zh-CN"/>
        </w:rPr>
        <w:t xml:space="preserve">    </w:t>
      </w: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5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21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6" w:name="_Toc24884"/>
      <w:bookmarkStart w:id="57" w:name="_Toc10913"/>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6"/>
      <w:bookmarkEnd w:id="57"/>
    </w:p>
    <w:tbl>
      <w:tblPr>
        <w:tblStyle w:val="27"/>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270"/>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270"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270" w:type="dxa"/>
            <w:noWrap w:val="0"/>
            <w:vAlign w:val="center"/>
          </w:tcPr>
          <w:p w14:paraId="4E926FD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杭新景（杭千）高速公路2025年交安设施提升工程</w:t>
            </w:r>
          </w:p>
          <w:p w14:paraId="6A4918B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napToGrid w:val="0"/>
                <w:kern w:val="0"/>
                <w:sz w:val="21"/>
                <w:szCs w:val="21"/>
                <w:lang w:val="en-US" w:eastAsia="zh-CN"/>
              </w:rPr>
              <w:t>钢护栏螺栓采购</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收货</w:t>
            </w:r>
            <w:r>
              <w:rPr>
                <w:rFonts w:hint="eastAsia" w:asciiTheme="minorEastAsia" w:hAnsiTheme="minorEastAsia" w:eastAsiaTheme="minorEastAsia" w:cstheme="minorEastAsia"/>
                <w:snapToGrid w:val="0"/>
                <w:kern w:val="0"/>
                <w:sz w:val="21"/>
                <w:szCs w:val="21"/>
              </w:rPr>
              <w:t>地点</w:t>
            </w:r>
          </w:p>
        </w:tc>
        <w:tc>
          <w:tcPr>
            <w:tcW w:w="6270"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杭州市（暂定，具体以选择人指定地点为准）</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270" w:type="dxa"/>
            <w:noWrap w:val="0"/>
            <w:vAlign w:val="center"/>
          </w:tcPr>
          <w:p w14:paraId="46E9FF8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270"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270"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270"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270"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270"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270"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color w:val="FF0000"/>
                <w:kern w:val="0"/>
                <w:sz w:val="21"/>
                <w:szCs w:val="21"/>
              </w:rPr>
              <w:t>正本一份，副本</w:t>
            </w:r>
            <w:r>
              <w:rPr>
                <w:rFonts w:hint="eastAsia" w:asciiTheme="minorEastAsia" w:hAnsiTheme="minorEastAsia" w:eastAsiaTheme="minorEastAsia" w:cstheme="minorEastAsia"/>
                <w:b/>
                <w:snapToGrid w:val="0"/>
                <w:color w:val="FF0000"/>
                <w:kern w:val="0"/>
                <w:sz w:val="21"/>
                <w:szCs w:val="21"/>
                <w:lang w:val="en-US" w:eastAsia="zh-CN"/>
              </w:rPr>
              <w:t>两份</w:t>
            </w:r>
            <w:r>
              <w:rPr>
                <w:rFonts w:hint="eastAsia" w:asciiTheme="minorEastAsia" w:hAnsiTheme="minorEastAsia" w:eastAsiaTheme="minorEastAsia" w:cstheme="minorEastAsia"/>
                <w:b/>
                <w:snapToGrid w:val="0"/>
                <w:kern w:val="0"/>
                <w:sz w:val="21"/>
                <w:szCs w:val="21"/>
                <w:lang w:val="en-US" w:eastAsia="zh-CN"/>
              </w:rPr>
              <w:t>（正本的彩色复印件可用作副本）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270"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270"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响应人名称</w:t>
            </w:r>
            <w:r>
              <w:rPr>
                <w:rFonts w:hint="eastAsia" w:asciiTheme="minorEastAsia" w:hAnsiTheme="minorEastAsia" w:eastAsiaTheme="minorEastAsia" w:cstheme="minorEastAsia"/>
                <w:b/>
                <w:bCs/>
                <w:snapToGrid w:val="0"/>
                <w:color w:val="auto"/>
                <w:kern w:val="0"/>
                <w:sz w:val="21"/>
                <w:szCs w:val="21"/>
              </w:rPr>
              <w:t>：</w:t>
            </w:r>
            <w:r>
              <w:rPr>
                <w:rFonts w:hint="eastAsia" w:asciiTheme="minorEastAsia" w:hAnsiTheme="minorEastAsia" w:eastAsiaTheme="minorEastAsia" w:cstheme="minorEastAsia"/>
                <w:b/>
                <w:bCs/>
                <w:snapToGrid w:val="0"/>
                <w:color w:val="auto"/>
                <w:kern w:val="0"/>
                <w:sz w:val="21"/>
                <w:szCs w:val="21"/>
                <w:lang w:eastAsia="zh-CN"/>
              </w:rPr>
              <w:t xml:space="preserve"> </w:t>
            </w:r>
            <w:r>
              <w:rPr>
                <w:rFonts w:hint="eastAsia" w:asciiTheme="minorEastAsia" w:hAnsiTheme="minorEastAsia" w:eastAsiaTheme="minorEastAsia" w:cstheme="minorEastAsia"/>
                <w:b/>
                <w:bCs/>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选择人</w:t>
            </w:r>
            <w:r>
              <w:rPr>
                <w:rFonts w:hint="eastAsia" w:asciiTheme="minorEastAsia" w:hAnsiTheme="minorEastAsia" w:eastAsiaTheme="minorEastAsia" w:cstheme="minorEastAsia"/>
                <w:b/>
                <w:bCs/>
                <w:snapToGrid w:val="0"/>
                <w:color w:val="auto"/>
                <w:kern w:val="0"/>
                <w:sz w:val="21"/>
                <w:szCs w:val="21"/>
              </w:rPr>
              <w:t>名称：杭州交通高等级公路养护有限公司</w:t>
            </w:r>
          </w:p>
          <w:p w14:paraId="29710BE6">
            <w:pPr>
              <w:autoSpaceDE w:val="0"/>
              <w:autoSpaceDN w:val="0"/>
              <w:adjustRightInd w:val="0"/>
              <w:snapToGrid w:val="0"/>
              <w:spacing w:before="160" w:beforeLines="50" w:line="360" w:lineRule="auto"/>
              <w:ind w:firstLine="422" w:firstLineChars="200"/>
              <w:jc w:val="both"/>
              <w:rPr>
                <w:rFonts w:hint="eastAsia"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eastAsiaTheme="minorEastAsia" w:cstheme="minorEastAsia"/>
                <w:b/>
                <w:bCs/>
                <w:snapToGrid w:val="0"/>
                <w:color w:val="auto"/>
                <w:kern w:val="0"/>
                <w:sz w:val="21"/>
                <w:szCs w:val="21"/>
                <w:lang w:val="en-US" w:eastAsia="zh-CN"/>
              </w:rPr>
              <w:t>杭新景（杭千）高速公路2025年交安设施提升工程</w:t>
            </w:r>
          </w:p>
          <w:p w14:paraId="0A47BFC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eastAsiaTheme="minorEastAsia" w:cstheme="minorEastAsia"/>
                <w:b/>
                <w:bCs/>
                <w:snapToGrid w:val="0"/>
                <w:color w:val="auto"/>
                <w:kern w:val="0"/>
                <w:sz w:val="21"/>
                <w:szCs w:val="21"/>
                <w:lang w:val="en-US" w:eastAsia="zh-CN"/>
              </w:rPr>
              <w:t>钢护栏螺栓采购</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u w:val="single"/>
                <w:lang w:val="en-US" w:eastAsia="zh-CN"/>
              </w:rPr>
              <w:t xml:space="preserve"> 2025 年 5 月 27 日 14 时 30 分</w:t>
            </w:r>
            <w:r>
              <w:rPr>
                <w:rFonts w:hint="eastAsia" w:asciiTheme="minorEastAsia" w:hAnsiTheme="minorEastAsia" w:eastAsiaTheme="minorEastAsia" w:cstheme="minorEastAsia"/>
                <w:b/>
                <w:bCs/>
                <w:snapToGrid w:val="0"/>
                <w:color w:val="auto"/>
                <w:kern w:val="0"/>
                <w:sz w:val="21"/>
                <w:szCs w:val="21"/>
              </w:rPr>
              <w:t>（即开</w:t>
            </w:r>
            <w:r>
              <w:rPr>
                <w:rFonts w:hint="eastAsia" w:asciiTheme="minorEastAsia" w:hAnsiTheme="minorEastAsia" w:eastAsiaTheme="minorEastAsia" w:cstheme="minorEastAsia"/>
                <w:b/>
                <w:bCs/>
                <w:snapToGrid w:val="0"/>
                <w:color w:val="auto"/>
                <w:kern w:val="0"/>
                <w:sz w:val="21"/>
                <w:szCs w:val="21"/>
                <w:lang w:val="en-US" w:eastAsia="zh-CN"/>
              </w:rPr>
              <w:t>启</w:t>
            </w:r>
            <w:r>
              <w:rPr>
                <w:rFonts w:hint="eastAsia" w:asciiTheme="minorEastAsia" w:hAnsiTheme="minorEastAsia" w:eastAsiaTheme="minorEastAsia" w:cstheme="minorEastAsia"/>
                <w:b/>
                <w:bCs/>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270"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napToGrid w:val="0"/>
                <w:color w:val="auto"/>
                <w:kern w:val="0"/>
                <w:sz w:val="21"/>
                <w:szCs w:val="21"/>
                <w:u w:val="single"/>
              </w:rPr>
              <w:t>年</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5 </w:t>
            </w:r>
            <w:r>
              <w:rPr>
                <w:rFonts w:hint="eastAsia" w:asciiTheme="minorEastAsia" w:hAnsiTheme="minorEastAsia" w:eastAsiaTheme="minorEastAsia" w:cstheme="minorEastAsia"/>
                <w:b/>
                <w:bCs/>
                <w:snapToGrid w:val="0"/>
                <w:color w:val="auto"/>
                <w:kern w:val="0"/>
                <w:sz w:val="21"/>
                <w:szCs w:val="21"/>
                <w:u w:val="single"/>
              </w:rPr>
              <w:t>月</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27 </w:t>
            </w:r>
            <w:r>
              <w:rPr>
                <w:rFonts w:hint="eastAsia" w:asciiTheme="minorEastAsia" w:hAnsiTheme="minorEastAsia" w:eastAsiaTheme="minorEastAsia" w:cstheme="minorEastAsia"/>
                <w:b/>
                <w:bCs/>
                <w:snapToGrid w:val="0"/>
                <w:color w:val="auto"/>
                <w:kern w:val="0"/>
                <w:sz w:val="21"/>
                <w:szCs w:val="21"/>
                <w:u w:val="single"/>
              </w:rPr>
              <w:t>日</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napToGrid w:val="0"/>
                <w:color w:val="auto"/>
                <w:kern w:val="0"/>
                <w:sz w:val="21"/>
                <w:szCs w:val="21"/>
                <w:u w:val="single"/>
              </w:rPr>
              <w:t>时</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30 </w:t>
            </w:r>
            <w:r>
              <w:rPr>
                <w:rFonts w:hint="eastAsia" w:asciiTheme="minorEastAsia" w:hAnsiTheme="minorEastAsia" w:eastAsiaTheme="minorEastAsia" w:cstheme="minorEastAsia"/>
                <w:b/>
                <w:bCs/>
                <w:snapToGrid w:val="0"/>
                <w:color w:val="auto"/>
                <w:kern w:val="0"/>
                <w:sz w:val="21"/>
                <w:szCs w:val="21"/>
                <w:u w:val="single"/>
              </w:rPr>
              <w:t>分</w:t>
            </w:r>
          </w:p>
        </w:tc>
      </w:tr>
      <w:tr w14:paraId="6E1E7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DD1C8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46084A2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响应限价</w:t>
            </w:r>
          </w:p>
        </w:tc>
        <w:tc>
          <w:tcPr>
            <w:tcW w:w="6270" w:type="dxa"/>
            <w:noWrap w:val="0"/>
            <w:vAlign w:val="center"/>
          </w:tcPr>
          <w:p w14:paraId="0244B9F7">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b/>
                <w:bCs/>
                <w:snapToGrid w:val="0"/>
                <w:color w:val="FF0000"/>
                <w:kern w:val="0"/>
                <w:sz w:val="21"/>
                <w:szCs w:val="21"/>
                <w:lang w:val="en-US" w:eastAsia="zh-CN"/>
              </w:rPr>
              <w:t>65万</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270"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270"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270"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270"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270"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270"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270"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270"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270"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270"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270"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270"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26</w:t>
            </w:r>
          </w:p>
        </w:tc>
        <w:tc>
          <w:tcPr>
            <w:tcW w:w="8312"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270"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26.2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270"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270"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4"/>
        <w:pageBreakBefore w:val="0"/>
        <w:widowControl w:val="0"/>
        <w:numPr>
          <w:ilvl w:val="0"/>
          <w:numId w:val="5"/>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58" w:name="_Toc14013"/>
      <w:bookmarkStart w:id="59" w:name="_Toc6847"/>
      <w:r>
        <w:rPr>
          <w:rFonts w:hint="eastAsia" w:ascii="宋体" w:hAnsi="宋体" w:cs="宋体"/>
          <w:bCs w:val="0"/>
          <w:snapToGrid w:val="0"/>
          <w:kern w:val="0"/>
          <w:sz w:val="32"/>
        </w:rPr>
        <w:t>采购需求（工程量清单）</w:t>
      </w:r>
      <w:bookmarkEnd w:id="58"/>
      <w:bookmarkEnd w:id="59"/>
    </w:p>
    <w:p w14:paraId="043CB16E">
      <w:pPr>
        <w:pageBreakBefore w:val="0"/>
        <w:widowControl w:val="0"/>
        <w:kinsoku/>
        <w:wordWrap/>
        <w:overflowPunct/>
        <w:topLinePunct w:val="0"/>
        <w:autoSpaceDE/>
        <w:autoSpaceDN/>
        <w:bidi w:val="0"/>
        <w:spacing w:before="160" w:beforeLines="50" w:after="160" w:afterLines="50"/>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杭新景（杭千）高速公路2025年交安设施提升工程钢护栏螺栓采购  </w:t>
      </w:r>
    </w:p>
    <w:tbl>
      <w:tblPr>
        <w:tblStyle w:val="27"/>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82"/>
        <w:gridCol w:w="1505"/>
        <w:gridCol w:w="638"/>
        <w:gridCol w:w="883"/>
        <w:gridCol w:w="1544"/>
        <w:gridCol w:w="1469"/>
        <w:gridCol w:w="1600"/>
      </w:tblGrid>
      <w:tr w14:paraId="0816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4E3DBA72">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A3CBF3">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lang w:val="en-US" w:eastAsia="zh-CN"/>
              </w:rPr>
              <w:t>材料</w:t>
            </w:r>
            <w:r>
              <w:rPr>
                <w:rFonts w:hint="eastAsia" w:ascii="宋体" w:hAnsi="宋体" w:eastAsia="宋体" w:cs="宋体"/>
                <w:sz w:val="20"/>
                <w:szCs w:val="20"/>
              </w:rPr>
              <w:t>名称</w:t>
            </w:r>
          </w:p>
        </w:tc>
        <w:tc>
          <w:tcPr>
            <w:tcW w:w="777" w:type="pct"/>
            <w:tcBorders>
              <w:top w:val="single" w:color="auto" w:sz="4" w:space="0"/>
              <w:left w:val="single" w:color="auto" w:sz="4" w:space="0"/>
              <w:bottom w:val="single" w:color="auto" w:sz="4" w:space="0"/>
              <w:right w:val="single" w:color="auto" w:sz="4" w:space="0"/>
              <w:tl2br w:val="nil"/>
              <w:tr2bl w:val="nil"/>
            </w:tcBorders>
            <w:noWrap/>
            <w:vAlign w:val="center"/>
          </w:tcPr>
          <w:p w14:paraId="699CEDCC">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规格型号</w:t>
            </w:r>
          </w:p>
        </w:tc>
        <w:tc>
          <w:tcPr>
            <w:tcW w:w="329" w:type="pct"/>
            <w:tcBorders>
              <w:top w:val="single" w:color="auto" w:sz="4" w:space="0"/>
              <w:left w:val="single" w:color="auto" w:sz="4" w:space="0"/>
              <w:bottom w:val="single" w:color="auto" w:sz="4" w:space="0"/>
              <w:right w:val="single" w:color="auto" w:sz="4" w:space="0"/>
              <w:tl2br w:val="nil"/>
              <w:tr2bl w:val="nil"/>
            </w:tcBorders>
            <w:noWrap/>
            <w:vAlign w:val="center"/>
          </w:tcPr>
          <w:p w14:paraId="7C026ABC">
            <w:pPr>
              <w:widowControl w:val="0"/>
              <w:spacing w:beforeLines="0" w:afterLine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单位</w:t>
            </w:r>
          </w:p>
        </w:tc>
        <w:tc>
          <w:tcPr>
            <w:tcW w:w="456" w:type="pct"/>
            <w:tcBorders>
              <w:top w:val="single" w:color="auto" w:sz="4" w:space="0"/>
              <w:left w:val="single" w:color="auto" w:sz="4" w:space="0"/>
              <w:bottom w:val="single" w:color="auto" w:sz="4" w:space="0"/>
              <w:right w:val="single" w:color="auto" w:sz="4" w:space="0"/>
              <w:tl2br w:val="nil"/>
              <w:tr2bl w:val="nil"/>
            </w:tcBorders>
            <w:noWrap/>
            <w:vAlign w:val="center"/>
          </w:tcPr>
          <w:p w14:paraId="2F008222">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4B25460E">
            <w:pPr>
              <w:widowControl w:val="0"/>
              <w:spacing w:beforeLines="0" w:afterLines="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含税</w:t>
            </w:r>
            <w:r>
              <w:rPr>
                <w:rFonts w:hint="eastAsia" w:ascii="宋体" w:hAnsi="宋体" w:eastAsia="宋体" w:cs="宋体"/>
                <w:sz w:val="20"/>
                <w:szCs w:val="20"/>
              </w:rPr>
              <w:t>单价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元</w:t>
            </w:r>
            <w:r>
              <w:rPr>
                <w:rFonts w:hint="eastAsia" w:ascii="宋体" w:hAnsi="宋体" w:eastAsia="宋体" w:cs="宋体"/>
                <w:sz w:val="20"/>
                <w:szCs w:val="20"/>
                <w:lang w:eastAsia="zh-CN"/>
              </w:rPr>
              <w:t>）</w:t>
            </w: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45401B57">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w:t>
            </w: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29E9087D">
            <w:pPr>
              <w:widowControl w:val="0"/>
              <w:spacing w:beforeLines="0" w:afterLine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备注</w:t>
            </w:r>
          </w:p>
        </w:tc>
      </w:tr>
      <w:tr w14:paraId="5493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767E675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16800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横梁垫片</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FD158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76*44*2.7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DB501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3AFD6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43267</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3C23EDA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08B732B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014545B9">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高强钢</w:t>
            </w:r>
          </w:p>
        </w:tc>
      </w:tr>
      <w:tr w14:paraId="702F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4013EA4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C55FC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拼接螺栓A2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2EB3B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M16*37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CAB77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8232F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164682</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4E53436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3BE9B81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073F6C83">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10.9级（防盗）</w:t>
            </w:r>
          </w:p>
        </w:tc>
      </w:tr>
      <w:tr w14:paraId="79C8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5691E09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74342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拼接螺栓B2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14EED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M16*50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F87C9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C4D2C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27717</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0C6E69B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6FFC358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36F7A32D">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8.8级（防盗）</w:t>
            </w:r>
          </w:p>
        </w:tc>
      </w:tr>
      <w:tr w14:paraId="48CF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148F6BE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55F4C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拼接螺栓C2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26D84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M16*180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6099B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E0E6A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27327</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6611465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08AFA8C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449827DA">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4.8级（防盗）</w:t>
            </w:r>
          </w:p>
        </w:tc>
      </w:tr>
      <w:tr w14:paraId="3656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56390A2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03E63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拼接螺栓A3</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7B918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M16*37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531DA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C3057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47820</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3D6F468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1FD1A81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072D0BEF">
            <w:pPr>
              <w:widowControl w:val="0"/>
              <w:spacing w:beforeLines="0" w:afterLine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10.9级（防盗）</w:t>
            </w:r>
          </w:p>
        </w:tc>
      </w:tr>
      <w:tr w14:paraId="1423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57F8B77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69C8E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连接螺栓B3</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FE993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M16*50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F4727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2CA54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15964</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4FF77C5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0303B2B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014ED60E">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8.8级（防盗）</w:t>
            </w:r>
          </w:p>
        </w:tc>
      </w:tr>
      <w:tr w14:paraId="0D19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0C75C47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DD655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连接螺栓C3</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0F5B9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M16*180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31C94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B7E46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15940</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241E060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3D5C1AD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58D56888">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4.8级（防盗）</w:t>
            </w:r>
          </w:p>
        </w:tc>
      </w:tr>
      <w:tr w14:paraId="07A9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0FDCD89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92CC6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连接螺栓JII-1-1</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01467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M16*47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AF4BA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742C6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336</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79B6761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7CAC3E3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47B1A90B">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Q235（普通）</w:t>
            </w:r>
          </w:p>
        </w:tc>
      </w:tr>
      <w:tr w14:paraId="6C51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266E35C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17A49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连接螺栓JII-2-1</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90135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M16*172</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45578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B003A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336</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1A1BB62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56FE9AB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161FA25C">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Q235（普通）</w:t>
            </w:r>
          </w:p>
        </w:tc>
      </w:tr>
      <w:tr w14:paraId="7298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42E1254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0E246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拼接螺栓JI-2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36922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M16*40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8C1B4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D73A7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1344</w:t>
            </w:r>
          </w:p>
        </w:tc>
        <w:tc>
          <w:tcPr>
            <w:tcW w:w="797" w:type="pct"/>
            <w:tcBorders>
              <w:top w:val="single" w:color="auto" w:sz="4" w:space="0"/>
              <w:left w:val="single" w:color="auto" w:sz="4" w:space="0"/>
              <w:bottom w:val="single" w:color="auto" w:sz="4" w:space="0"/>
              <w:right w:val="single" w:color="auto" w:sz="4" w:space="0"/>
              <w:tl2br w:val="nil"/>
              <w:tr2bl w:val="nil"/>
            </w:tcBorders>
            <w:noWrap/>
            <w:vAlign w:val="center"/>
          </w:tcPr>
          <w:p w14:paraId="3203185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759" w:type="pct"/>
            <w:tcBorders>
              <w:top w:val="single" w:color="auto" w:sz="4" w:space="0"/>
              <w:left w:val="single" w:color="auto" w:sz="4" w:space="0"/>
              <w:bottom w:val="single" w:color="auto" w:sz="4" w:space="0"/>
              <w:right w:val="single" w:color="auto" w:sz="4" w:space="0"/>
              <w:tl2br w:val="nil"/>
              <w:tr2bl w:val="nil"/>
            </w:tcBorders>
            <w:noWrap/>
            <w:vAlign w:val="center"/>
          </w:tcPr>
          <w:p w14:paraId="2E2440B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438FD8F9">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45号钢（普通）</w:t>
            </w:r>
          </w:p>
        </w:tc>
      </w:tr>
      <w:tr w14:paraId="54B6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74DD53D">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合计（</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316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7181381">
            <w:pPr>
              <w:keepNext w:val="0"/>
              <w:keepLines w:val="0"/>
              <w:pageBreakBefore w:val="0"/>
              <w:widowControl w:val="0"/>
              <w:kinsoku/>
              <w:wordWrap/>
              <w:overflowPunct/>
              <w:topLinePunct w:val="0"/>
              <w:autoSpaceDE/>
              <w:autoSpaceDN/>
              <w:bidi w:val="0"/>
              <w:adjustRightInd/>
              <w:snapToGrid/>
              <w:spacing w:before="160" w:beforeLines="50" w:afterLines="0" w:line="240" w:lineRule="auto"/>
              <w:ind w:firstLine="400" w:firstLineChars="200"/>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大写：</w:t>
            </w:r>
            <w:r>
              <w:rPr>
                <w:rFonts w:hint="eastAsia" w:ascii="宋体" w:hAnsi="宋体" w:eastAsia="宋体" w:cs="宋体"/>
                <w:sz w:val="20"/>
                <w:szCs w:val="20"/>
                <w:u w:val="single"/>
                <w:lang w:val="en-US" w:eastAsia="zh-CN"/>
              </w:rPr>
              <w:t xml:space="preserve">                    </w:t>
            </w:r>
          </w:p>
          <w:p w14:paraId="437417E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00" w:firstLineChars="200"/>
              <w:textAlignment w:val="auto"/>
              <w:rPr>
                <w:rFonts w:hint="default"/>
                <w:lang w:val="en-US" w:eastAsia="zh-CN"/>
              </w:rPr>
            </w:pPr>
            <w:r>
              <w:rPr>
                <w:rFonts w:hint="eastAsia" w:ascii="宋体" w:hAnsi="宋体" w:eastAsia="宋体" w:cs="宋体"/>
                <w:sz w:val="20"/>
                <w:szCs w:val="20"/>
                <w:lang w:val="en-US" w:eastAsia="zh-CN"/>
              </w:rPr>
              <w:t>小写：</w:t>
            </w:r>
            <w:r>
              <w:rPr>
                <w:rFonts w:hint="eastAsia" w:ascii="宋体" w:hAnsi="宋体" w:eastAsia="宋体" w:cs="宋体"/>
                <w:sz w:val="20"/>
                <w:szCs w:val="20"/>
                <w:u w:val="single"/>
                <w:lang w:val="en-US" w:eastAsia="zh-CN"/>
              </w:rPr>
              <w:t xml:space="preserve">                    </w:t>
            </w:r>
          </w:p>
        </w:tc>
      </w:tr>
      <w:tr w14:paraId="540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00" w:type="pct"/>
            <w:gridSpan w:val="8"/>
            <w:tcBorders>
              <w:top w:val="single" w:color="auto" w:sz="4" w:space="0"/>
              <w:left w:val="single" w:color="auto" w:sz="4" w:space="0"/>
              <w:bottom w:val="single" w:color="auto" w:sz="4" w:space="0"/>
              <w:right w:val="single" w:color="auto" w:sz="4" w:space="0"/>
              <w:tl2br w:val="nil"/>
              <w:tr2bl w:val="nil"/>
            </w:tcBorders>
            <w:noWrap/>
            <w:vAlign w:val="center"/>
          </w:tcPr>
          <w:p w14:paraId="09BC237B">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eastAsia="宋体" w:cs="宋体"/>
                <w:sz w:val="20"/>
                <w:szCs w:val="20"/>
                <w:lang w:val="en-US" w:eastAsia="zh-CN"/>
              </w:rPr>
              <w:t>说明：具体要求详见</w:t>
            </w:r>
            <w:r>
              <w:rPr>
                <w:rFonts w:hint="eastAsia" w:ascii="宋体" w:hAnsi="宋体" w:eastAsia="宋体" w:cs="宋体"/>
                <w:sz w:val="20"/>
                <w:szCs w:val="20"/>
                <w:u w:val="none"/>
                <w:lang w:val="en-US" w:eastAsia="zh-CN"/>
              </w:rPr>
              <w:t>杭新景（杭千）高速公路2025年交安设施提升工程施工图设计</w:t>
            </w: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6054A364">
      <w:pPr>
        <w:adjustRightInd/>
        <w:snapToGrid/>
        <w:spacing w:beforeLines="0" w:afterLines="0" w:line="360" w:lineRule="auto"/>
        <w:ind w:firstLine="480" w:firstLineChars="200"/>
        <w:rPr>
          <w:rFonts w:hint="default" w:asciiTheme="minorEastAsia" w:hAnsiTheme="minorEastAsia" w:eastAsiaTheme="minorEastAsia" w:cstheme="minorEastAsia"/>
          <w:sz w:val="24"/>
          <w:szCs w:val="24"/>
          <w:u w:val="none"/>
          <w:lang w:val="en-US"/>
        </w:rPr>
      </w:pPr>
      <w:r>
        <w:rPr>
          <w:rFonts w:hint="eastAsia" w:asciiTheme="minorEastAsia" w:hAnsiTheme="minorEastAsia" w:eastAsiaTheme="minorEastAsia" w:cstheme="minorEastAsia"/>
          <w:sz w:val="24"/>
          <w:szCs w:val="24"/>
          <w:u w:val="none"/>
          <w:lang w:val="en-US" w:eastAsia="zh-CN"/>
        </w:rPr>
        <w:t>③本次报价不作为最终报价，选择人对所有报价评审之后，会要求响应人谈判并做出二次报价（如响应人不进行谈判，初次报价作为最终报价）。</w:t>
      </w:r>
    </w:p>
    <w:p w14:paraId="4C7DB4D4">
      <w:pPr>
        <w:adjustRightInd/>
        <w:snapToGrid/>
        <w:spacing w:beforeLines="0" w:afterLines="0" w:line="360" w:lineRule="auto"/>
        <w:ind w:firstLine="480" w:firstLineChars="200"/>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④响应单位所报的价格应包括材料成本、运输费、包装费、劳务费、试验检测（指产品出厂前按国家规定频率的试验检测）、取样、保险、利润、税金、政策性文件规定的所有风险、责任等各项应有费用。</w:t>
      </w:r>
    </w:p>
    <w:p w14:paraId="333FD889">
      <w:pPr>
        <w:pStyle w:val="10"/>
        <w:rPr>
          <w:rFonts w:hint="default"/>
          <w:lang w:val="en-US" w:eastAsia="zh-CN"/>
        </w:rPr>
      </w:pP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4"/>
        <w:numPr>
          <w:ilvl w:val="0"/>
          <w:numId w:val="5"/>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9673"/>
      <w:bookmarkStart w:id="61" w:name="_Toc1254"/>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0"/>
      <w:bookmarkEnd w:id="61"/>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2" w:name="_Toc16686"/>
      <w:bookmarkStart w:id="63" w:name="_Toc13259"/>
      <w:r>
        <w:rPr>
          <w:rFonts w:hint="eastAsia" w:ascii="宋体" w:hAnsi="宋体" w:eastAsia="宋体" w:cs="宋体"/>
          <w:b/>
          <w:bCs/>
          <w:kern w:val="0"/>
          <w:sz w:val="24"/>
          <w:szCs w:val="24"/>
          <w:lang w:val="en-US" w:eastAsia="zh-CN"/>
        </w:rPr>
        <w:t>一、 基本原则：</w:t>
      </w:r>
      <w:bookmarkEnd w:id="62"/>
      <w:bookmarkEnd w:id="63"/>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2542"/>
      <w:bookmarkStart w:id="65" w:name="_Toc3427"/>
      <w:r>
        <w:rPr>
          <w:rFonts w:hint="eastAsia" w:ascii="宋体" w:hAnsi="宋体" w:eastAsia="宋体" w:cs="宋体"/>
          <w:b/>
          <w:bCs/>
          <w:kern w:val="0"/>
          <w:sz w:val="24"/>
          <w:szCs w:val="24"/>
          <w:lang w:val="en-US" w:eastAsia="zh-CN"/>
        </w:rPr>
        <w:t>二、评审程序：</w:t>
      </w:r>
      <w:bookmarkEnd w:id="64"/>
      <w:bookmarkEnd w:id="65"/>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6" w:name="_Toc4554"/>
      <w:bookmarkStart w:id="67" w:name="_Toc4670"/>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6"/>
      <w:bookmarkEnd w:id="67"/>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68" w:name="_Toc18655"/>
      <w:bookmarkStart w:id="69" w:name="_Toc97500983"/>
      <w:bookmarkStart w:id="70" w:name="_Toc32664"/>
      <w:bookmarkStart w:id="71" w:name="_Toc15602"/>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68"/>
      <w:bookmarkEnd w:id="69"/>
      <w:r>
        <w:rPr>
          <w:rFonts w:hint="eastAsia" w:ascii="宋体" w:hAnsi="宋体" w:eastAsia="宋体" w:cs="仿宋_GB2312"/>
          <w:b/>
          <w:bCs/>
          <w:color w:val="000000"/>
          <w:sz w:val="24"/>
          <w:lang w:val="en-US" w:eastAsia="zh-CN"/>
        </w:rPr>
        <w:t>中选单位</w:t>
      </w:r>
      <w:bookmarkEnd w:id="70"/>
      <w:bookmarkEnd w:id="71"/>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2" w:name="_Toc29281"/>
      <w:bookmarkStart w:id="73" w:name="_Toc97500984"/>
    </w:p>
    <w:bookmarkEnd w:id="72"/>
    <w:bookmarkEnd w:id="73"/>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4" w:name="_Toc29015"/>
      <w:bookmarkStart w:id="75" w:name="_Toc30737"/>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4"/>
      <w:bookmarkEnd w:id="75"/>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6" w:name="_Toc18593"/>
      <w:bookmarkStart w:id="77" w:name="_Toc8158"/>
      <w:r>
        <w:rPr>
          <w:rFonts w:hint="eastAsia" w:asciiTheme="majorEastAsia" w:hAnsiTheme="majorEastAsia" w:eastAsiaTheme="majorEastAsia" w:cstheme="majorEastAsia"/>
          <w:bCs w:val="0"/>
          <w:snapToGrid w:val="0"/>
          <w:kern w:val="0"/>
          <w:sz w:val="48"/>
          <w:szCs w:val="48"/>
          <w:lang w:val="en-US" w:eastAsia="zh-CN"/>
        </w:rPr>
        <w:t>响应文件封套</w:t>
      </w:r>
      <w:bookmarkEnd w:id="76"/>
      <w:bookmarkEnd w:id="77"/>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 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2C02C2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2"/>
          <w:szCs w:val="32"/>
          <w:lang w:val="en-US" w:eastAsia="zh-CN"/>
        </w:rPr>
        <w:t>杭新景（杭千）高速公路2025年交安设施提升工程</w:t>
      </w:r>
    </w:p>
    <w:p w14:paraId="5FD6CE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2"/>
          <w:szCs w:val="32"/>
          <w:lang w:val="en-US" w:eastAsia="zh-CN"/>
        </w:rPr>
        <w:t>钢护栏螺栓采购</w:t>
      </w:r>
      <w:r>
        <w:rPr>
          <w:rFonts w:hint="eastAsia" w:asciiTheme="majorEastAsia" w:hAnsiTheme="majorEastAsia" w:eastAsiaTheme="majorEastAsia" w:cstheme="majorEastAsia"/>
          <w:b/>
          <w:bCs/>
          <w:snapToGrid w:val="0"/>
          <w:kern w:val="0"/>
          <w:sz w:val="36"/>
          <w:szCs w:val="36"/>
          <w:lang w:val="en-US" w:eastAsia="zh-CN"/>
        </w:rPr>
        <w:t>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32"/>
          <w:szCs w:val="32"/>
          <w:lang w:val="en-US" w:eastAsia="zh-CN"/>
        </w:rPr>
      </w:pPr>
      <w:r>
        <w:rPr>
          <w:rFonts w:hint="eastAsia" w:asciiTheme="minorEastAsia" w:hAnsiTheme="minorEastAsia" w:eastAsiaTheme="minorEastAsia" w:cstheme="minorEastAsia"/>
          <w:b/>
          <w:bCs/>
          <w:snapToGrid w:val="0"/>
          <w:color w:val="auto"/>
          <w:kern w:val="0"/>
          <w:sz w:val="32"/>
          <w:szCs w:val="32"/>
        </w:rPr>
        <w:t>在</w:t>
      </w:r>
      <w:r>
        <w:rPr>
          <w:rFonts w:hint="eastAsia" w:asciiTheme="minorEastAsia" w:hAnsiTheme="minorEastAsia" w:eastAsiaTheme="minorEastAsia" w:cstheme="minorEastAsia"/>
          <w:b/>
          <w:bCs/>
          <w:snapToGrid w:val="0"/>
          <w:color w:val="auto"/>
          <w:kern w:val="0"/>
          <w:sz w:val="32"/>
          <w:szCs w:val="32"/>
          <w:u w:val="none"/>
        </w:rPr>
        <w:t xml:space="preserve"> 2025 年 </w:t>
      </w:r>
      <w:r>
        <w:rPr>
          <w:rFonts w:hint="eastAsia" w:asciiTheme="minorEastAsia" w:hAnsiTheme="minorEastAsia" w:eastAsiaTheme="minorEastAsia" w:cstheme="minorEastAsia"/>
          <w:b/>
          <w:bCs/>
          <w:snapToGrid w:val="0"/>
          <w:color w:val="auto"/>
          <w:kern w:val="0"/>
          <w:sz w:val="32"/>
          <w:szCs w:val="32"/>
          <w:u w:val="none"/>
          <w:lang w:val="en-US" w:eastAsia="zh-CN"/>
        </w:rPr>
        <w:t>5</w:t>
      </w:r>
      <w:r>
        <w:rPr>
          <w:rFonts w:hint="eastAsia" w:asciiTheme="minorEastAsia" w:hAnsiTheme="minorEastAsia" w:eastAsiaTheme="minorEastAsia" w:cstheme="minorEastAsia"/>
          <w:b/>
          <w:bCs/>
          <w:snapToGrid w:val="0"/>
          <w:color w:val="auto"/>
          <w:kern w:val="0"/>
          <w:sz w:val="32"/>
          <w:szCs w:val="32"/>
          <w:u w:val="none"/>
        </w:rPr>
        <w:t xml:space="preserve"> 月 </w:t>
      </w:r>
      <w:r>
        <w:rPr>
          <w:rFonts w:hint="eastAsia" w:asciiTheme="minorEastAsia" w:hAnsiTheme="minorEastAsia" w:eastAsiaTheme="minorEastAsia" w:cstheme="minorEastAsia"/>
          <w:b/>
          <w:bCs/>
          <w:snapToGrid w:val="0"/>
          <w:color w:val="auto"/>
          <w:kern w:val="0"/>
          <w:sz w:val="32"/>
          <w:szCs w:val="32"/>
          <w:u w:val="none"/>
          <w:lang w:val="en-US" w:eastAsia="zh-CN"/>
        </w:rPr>
        <w:t>27</w:t>
      </w:r>
      <w:r>
        <w:rPr>
          <w:rFonts w:hint="eastAsia" w:asciiTheme="minorEastAsia" w:hAnsiTheme="minorEastAsia" w:eastAsiaTheme="minorEastAsia" w:cstheme="minorEastAsia"/>
          <w:b/>
          <w:bCs/>
          <w:snapToGrid w:val="0"/>
          <w:color w:val="auto"/>
          <w:kern w:val="0"/>
          <w:sz w:val="32"/>
          <w:szCs w:val="32"/>
          <w:u w:val="none"/>
        </w:rPr>
        <w:t xml:space="preserve"> 日 14 时 30 分</w:t>
      </w:r>
      <w:r>
        <w:rPr>
          <w:rFonts w:hint="eastAsia" w:asciiTheme="minorEastAsia" w:hAnsiTheme="minorEastAsia" w:eastAsiaTheme="minorEastAsia" w:cstheme="minorEastAsia"/>
          <w:b/>
          <w:bCs/>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3ADC743">
      <w:pPr>
        <w:rPr>
          <w:rFonts w:hint="eastAsia"/>
          <w:lang w:val="en-US" w:eastAsia="zh-CN"/>
        </w:rPr>
      </w:pPr>
    </w:p>
    <w:p w14:paraId="7F2C5A58">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杭新景（杭千）高速公路2025年交安设施提升工程</w:t>
      </w:r>
    </w:p>
    <w:p w14:paraId="47FD8095">
      <w:pPr>
        <w:adjustRightInd w:val="0"/>
        <w:snapToGrid w:val="0"/>
        <w:spacing w:line="560" w:lineRule="exact"/>
        <w:jc w:val="center"/>
        <w:rPr>
          <w:rFonts w:hint="eastAsia"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w:t>
      </w:r>
    </w:p>
    <w:p w14:paraId="04DB4706">
      <w:pPr>
        <w:adjustRightInd w:val="0"/>
        <w:snapToGrid w:val="0"/>
        <w:spacing w:line="560" w:lineRule="exact"/>
        <w:jc w:val="right"/>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78" w:name="_Toc12326"/>
      <w:bookmarkStart w:id="79" w:name="_Toc28511"/>
      <w:r>
        <w:rPr>
          <w:rFonts w:hint="eastAsia" w:asciiTheme="majorEastAsia" w:hAnsiTheme="majorEastAsia" w:eastAsiaTheme="majorEastAsia" w:cstheme="majorEastAsia"/>
          <w:b/>
          <w:bCs/>
          <w:sz w:val="48"/>
          <w:szCs w:val="48"/>
          <w:u w:val="none"/>
          <w:lang w:val="en-US" w:eastAsia="zh-CN"/>
        </w:rPr>
        <w:t>钢护栏螺栓采购</w:t>
      </w:r>
      <w:r>
        <w:rPr>
          <w:rFonts w:hint="eastAsia" w:asciiTheme="majorEastAsia" w:hAnsiTheme="majorEastAsia" w:eastAsiaTheme="majorEastAsia" w:cstheme="majorEastAsia"/>
          <w:b/>
          <w:bCs/>
          <w:sz w:val="48"/>
          <w:szCs w:val="48"/>
          <w:lang w:val="en-US" w:eastAsia="zh-CN"/>
        </w:rPr>
        <w:t>响应文件</w:t>
      </w:r>
      <w:bookmarkEnd w:id="78"/>
      <w:bookmarkEnd w:id="79"/>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单位盖章）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1"/>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0" w:name="_Toc7874"/>
      <w:bookmarkStart w:id="81" w:name="_Toc28338"/>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0"/>
      <w:bookmarkEnd w:id="81"/>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杭新景（杭千）高速公路2025年交安设施提升工程钢护栏螺栓采购 </w:t>
      </w:r>
      <w:bookmarkStart w:id="135" w:name="_GoBack"/>
      <w:bookmarkEnd w:id="135"/>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w:t>
      </w:r>
      <w:r>
        <w:rPr>
          <w:rFonts w:hint="eastAsia" w:ascii="宋体" w:hAnsi="宋体" w:cs="宋体"/>
          <w:szCs w:val="21"/>
          <w:lang w:val="en-US" w:eastAsia="zh-CN"/>
        </w:rPr>
        <w:t>含税</w:t>
      </w:r>
      <w:r>
        <w:rPr>
          <w:rFonts w:hint="eastAsia" w:ascii="宋体" w:hAnsi="宋体" w:cs="宋体"/>
          <w:szCs w:val="21"/>
        </w:rPr>
        <w:t>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2" w:name="_Toc31445"/>
      <w:bookmarkStart w:id="83" w:name="_Toc478761773"/>
      <w:bookmarkStart w:id="84" w:name="_Toc4500"/>
      <w:bookmarkStart w:id="85" w:name="_Toc26994"/>
      <w:r>
        <w:rPr>
          <w:rFonts w:hint="eastAsia" w:ascii="宋体" w:hAnsi="宋体" w:cs="宋体"/>
          <w:b/>
          <w:bCs/>
          <w:sz w:val="32"/>
          <w:szCs w:val="32"/>
        </w:rPr>
        <w:t>二、</w:t>
      </w:r>
      <w:bookmarkEnd w:id="82"/>
      <w:bookmarkEnd w:id="83"/>
      <w:r>
        <w:rPr>
          <w:rFonts w:hint="eastAsia" w:ascii="宋体" w:hAnsi="宋体" w:cs="宋体"/>
          <w:b/>
          <w:bCs/>
          <w:sz w:val="32"/>
          <w:szCs w:val="32"/>
        </w:rPr>
        <w:t>法定代表人身份证明或附有法定代表人身份证明</w:t>
      </w:r>
      <w:bookmarkEnd w:id="84"/>
      <w:bookmarkEnd w:id="85"/>
    </w:p>
    <w:p w14:paraId="04F8E2E0">
      <w:pPr>
        <w:spacing w:line="360" w:lineRule="auto"/>
        <w:jc w:val="center"/>
        <w:outlineLvl w:val="1"/>
        <w:rPr>
          <w:rFonts w:hint="eastAsia" w:ascii="宋体" w:hAnsi="宋体" w:cs="宋体"/>
          <w:b/>
          <w:bCs/>
          <w:sz w:val="32"/>
          <w:szCs w:val="32"/>
        </w:rPr>
      </w:pPr>
      <w:bookmarkStart w:id="86" w:name="_Toc18254"/>
      <w:bookmarkStart w:id="87" w:name="_Toc29642"/>
      <w:r>
        <w:rPr>
          <w:rFonts w:hint="eastAsia" w:ascii="宋体" w:hAnsi="宋体" w:cs="宋体"/>
          <w:b/>
          <w:bCs/>
          <w:sz w:val="32"/>
          <w:szCs w:val="32"/>
        </w:rPr>
        <w:t>的授权委托书</w:t>
      </w:r>
      <w:bookmarkEnd w:id="86"/>
      <w:bookmarkEnd w:id="87"/>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1"/>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88" w:name="_Toc478761774"/>
      <w:bookmarkStart w:id="89"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88"/>
      <w:bookmarkEnd w:id="89"/>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napToGrid w:val="0"/>
          <w:kern w:val="0"/>
          <w:szCs w:val="21"/>
          <w:u w:val="single"/>
          <w:lang w:val="en-US" w:eastAsia="zh-CN"/>
        </w:rPr>
        <w:t>杭新景（杭千）高速公路2025年交安设施提升工程钢护栏螺栓采购</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1"/>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0" w:name="_Toc23859"/>
      <w:bookmarkStart w:id="91" w:name="_Toc30398"/>
      <w:r>
        <w:rPr>
          <w:rFonts w:hint="eastAsia" w:ascii="宋体" w:hAnsi="宋体" w:cs="宋体"/>
          <w:b/>
          <w:bCs/>
          <w:sz w:val="32"/>
          <w:szCs w:val="32"/>
          <w:lang w:val="en-US" w:eastAsia="zh-CN"/>
        </w:rPr>
        <w:t>三、工程量清单报价表</w:t>
      </w:r>
      <w:bookmarkEnd w:id="90"/>
      <w:bookmarkEnd w:id="91"/>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2" w:name="_Toc32696"/>
      <w:bookmarkStart w:id="93" w:name="_Toc9309"/>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2"/>
      <w:bookmarkEnd w:id="93"/>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4" w:name="_Toc3897"/>
      <w:bookmarkStart w:id="95" w:name="_Toc25277"/>
      <w:r>
        <w:rPr>
          <w:rFonts w:hint="eastAsia" w:ascii="宋体" w:hAnsi="宋体" w:cs="宋体"/>
          <w:b w:val="0"/>
          <w:bCs w:val="0"/>
          <w:sz w:val="24"/>
        </w:rPr>
        <w:t>1.本报价单应与选择文件结合起来查阅与理解。</w:t>
      </w:r>
      <w:bookmarkEnd w:id="94"/>
      <w:bookmarkEnd w:id="95"/>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0597"/>
      <w:bookmarkStart w:id="97" w:name="_Toc20945"/>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6"/>
      <w:bookmarkEnd w:id="97"/>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17966"/>
      <w:bookmarkStart w:id="99" w:name="_Toc32438"/>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98"/>
      <w:bookmarkEnd w:id="99"/>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9147"/>
      <w:bookmarkStart w:id="101" w:name="_Toc6790"/>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0"/>
      <w:bookmarkEnd w:id="101"/>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7692"/>
      <w:bookmarkStart w:id="103" w:name="_Toc7382"/>
      <w:r>
        <w:rPr>
          <w:rFonts w:hint="eastAsia" w:ascii="宋体" w:hAnsi="宋体" w:cs="宋体"/>
          <w:b w:val="0"/>
          <w:bCs w:val="0"/>
          <w:sz w:val="24"/>
        </w:rPr>
        <w:t>5.工程量清单中所列的数量是估算的预计数量，仅作为报价的共同基础，不能作为最终结算及支付的依据，按合同约定的计量支付方式进行。</w:t>
      </w:r>
      <w:bookmarkEnd w:id="102"/>
      <w:bookmarkEnd w:id="103"/>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28293"/>
      <w:bookmarkStart w:id="105" w:name="_Toc30512"/>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4"/>
      <w:bookmarkEnd w:id="105"/>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3115"/>
      <w:bookmarkStart w:id="107" w:name="_Toc26194"/>
      <w:r>
        <w:rPr>
          <w:rFonts w:hint="eastAsia" w:ascii="宋体" w:hAnsi="宋体" w:cs="宋体"/>
          <w:b w:val="0"/>
          <w:bCs w:val="0"/>
          <w:sz w:val="24"/>
        </w:rPr>
        <w:t>7.工程量清单中的各项费用均以人民币（元）结算。</w:t>
      </w:r>
      <w:bookmarkEnd w:id="106"/>
      <w:bookmarkEnd w:id="107"/>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28872"/>
      <w:bookmarkStart w:id="109" w:name="_Toc25973"/>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08"/>
      <w:bookmarkEnd w:id="109"/>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0" w:name="_Toc15979"/>
      <w:bookmarkStart w:id="111" w:name="_Toc27741"/>
      <w:r>
        <w:rPr>
          <w:rFonts w:hint="eastAsia" w:ascii="宋体" w:hAnsi="宋体" w:cs="宋体"/>
          <w:b w:val="0"/>
          <w:bCs w:val="0"/>
          <w:sz w:val="24"/>
          <w:lang w:val="en-US" w:eastAsia="zh-CN"/>
        </w:rPr>
        <w:t>9</w:t>
      </w:r>
      <w:r>
        <w:rPr>
          <w:rFonts w:hint="eastAsia" w:ascii="宋体" w:hAnsi="宋体" w:cs="宋体"/>
          <w:b w:val="0"/>
          <w:bCs w:val="0"/>
          <w:sz w:val="24"/>
        </w:rPr>
        <w:t>.上述未尽事宜，均参照项目业主《招标文件》执行。</w:t>
      </w:r>
      <w:bookmarkEnd w:id="110"/>
      <w:bookmarkEnd w:id="111"/>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2" w:name="_Toc5263"/>
      <w:bookmarkStart w:id="113" w:name="_Toc14842"/>
      <w:r>
        <w:rPr>
          <w:rFonts w:hint="eastAsia" w:ascii="宋体" w:hAnsi="宋体" w:cs="宋体"/>
          <w:b/>
          <w:bCs/>
          <w:sz w:val="28"/>
          <w:szCs w:val="28"/>
          <w:lang w:val="en-US" w:eastAsia="zh-CN"/>
        </w:rPr>
        <w:t>（2）报价单</w:t>
      </w:r>
      <w:bookmarkEnd w:id="112"/>
      <w:bookmarkEnd w:id="113"/>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杭新景（杭千）高速公路2025年交安设施提升工程钢护栏螺栓采购 </w:t>
      </w:r>
    </w:p>
    <w:tbl>
      <w:tblPr>
        <w:tblStyle w:val="27"/>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82"/>
        <w:gridCol w:w="1505"/>
        <w:gridCol w:w="638"/>
        <w:gridCol w:w="883"/>
        <w:gridCol w:w="1408"/>
        <w:gridCol w:w="1605"/>
        <w:gridCol w:w="1600"/>
      </w:tblGrid>
      <w:tr w14:paraId="4640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4FDFA856">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CF78D7">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lang w:val="en-US" w:eastAsia="zh-CN"/>
              </w:rPr>
              <w:t>材料</w:t>
            </w:r>
            <w:r>
              <w:rPr>
                <w:rFonts w:hint="eastAsia" w:ascii="宋体" w:hAnsi="宋体" w:eastAsia="宋体" w:cs="宋体"/>
                <w:sz w:val="20"/>
                <w:szCs w:val="20"/>
              </w:rPr>
              <w:t>名称</w:t>
            </w:r>
          </w:p>
        </w:tc>
        <w:tc>
          <w:tcPr>
            <w:tcW w:w="777" w:type="pct"/>
            <w:tcBorders>
              <w:top w:val="single" w:color="auto" w:sz="4" w:space="0"/>
              <w:left w:val="single" w:color="auto" w:sz="4" w:space="0"/>
              <w:bottom w:val="single" w:color="auto" w:sz="4" w:space="0"/>
              <w:right w:val="single" w:color="auto" w:sz="4" w:space="0"/>
              <w:tl2br w:val="nil"/>
              <w:tr2bl w:val="nil"/>
            </w:tcBorders>
            <w:noWrap/>
            <w:vAlign w:val="center"/>
          </w:tcPr>
          <w:p w14:paraId="0CCED10E">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规格型号</w:t>
            </w:r>
          </w:p>
        </w:tc>
        <w:tc>
          <w:tcPr>
            <w:tcW w:w="329" w:type="pct"/>
            <w:tcBorders>
              <w:top w:val="single" w:color="auto" w:sz="4" w:space="0"/>
              <w:left w:val="single" w:color="auto" w:sz="4" w:space="0"/>
              <w:bottom w:val="single" w:color="auto" w:sz="4" w:space="0"/>
              <w:right w:val="single" w:color="auto" w:sz="4" w:space="0"/>
              <w:tl2br w:val="nil"/>
              <w:tr2bl w:val="nil"/>
            </w:tcBorders>
            <w:noWrap/>
            <w:vAlign w:val="center"/>
          </w:tcPr>
          <w:p w14:paraId="5A4CEFE3">
            <w:pPr>
              <w:widowControl w:val="0"/>
              <w:spacing w:beforeLines="0" w:afterLine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单位</w:t>
            </w:r>
          </w:p>
        </w:tc>
        <w:tc>
          <w:tcPr>
            <w:tcW w:w="456" w:type="pct"/>
            <w:tcBorders>
              <w:top w:val="single" w:color="auto" w:sz="4" w:space="0"/>
              <w:left w:val="single" w:color="auto" w:sz="4" w:space="0"/>
              <w:bottom w:val="single" w:color="auto" w:sz="4" w:space="0"/>
              <w:right w:val="single" w:color="auto" w:sz="4" w:space="0"/>
              <w:tl2br w:val="nil"/>
              <w:tr2bl w:val="nil"/>
            </w:tcBorders>
            <w:noWrap/>
            <w:vAlign w:val="center"/>
          </w:tcPr>
          <w:p w14:paraId="4732B14A">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0EA23BB8">
            <w:pPr>
              <w:widowControl w:val="0"/>
              <w:spacing w:beforeLines="0" w:afterLines="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含税</w:t>
            </w:r>
            <w:r>
              <w:rPr>
                <w:rFonts w:hint="eastAsia" w:ascii="宋体" w:hAnsi="宋体" w:eastAsia="宋体" w:cs="宋体"/>
                <w:sz w:val="20"/>
                <w:szCs w:val="20"/>
              </w:rPr>
              <w:t>单价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元</w:t>
            </w:r>
            <w:r>
              <w:rPr>
                <w:rFonts w:hint="eastAsia" w:ascii="宋体" w:hAnsi="宋体" w:eastAsia="宋体" w:cs="宋体"/>
                <w:sz w:val="20"/>
                <w:szCs w:val="20"/>
                <w:lang w:eastAsia="zh-CN"/>
              </w:rPr>
              <w:t>）</w:t>
            </w: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5551A6BD">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w:t>
            </w: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02B7A2C6">
            <w:pPr>
              <w:widowControl w:val="0"/>
              <w:spacing w:beforeLines="0" w:afterLine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备注</w:t>
            </w:r>
          </w:p>
        </w:tc>
      </w:tr>
      <w:tr w14:paraId="3007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649319F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5BCB5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横梁垫片</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D06F1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76*44*2.7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86148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A85E0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43267</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5D9FC21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3A2DA9B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5968A17B">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高强钢</w:t>
            </w:r>
          </w:p>
        </w:tc>
      </w:tr>
      <w:tr w14:paraId="1987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22480CE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A2FEE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拼接螺栓A2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C3077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M16*37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8FFCB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5E34E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164682</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4C26B30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3E37387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7AA48C91">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10.9级（防盗）</w:t>
            </w:r>
          </w:p>
        </w:tc>
      </w:tr>
      <w:tr w14:paraId="6C74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2FF2800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07F7F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拼接螺栓B2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DE482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M16*50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0DFA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8F382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27717</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3F69DC3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708A914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31B434FD">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8.8级（防盗）</w:t>
            </w:r>
          </w:p>
        </w:tc>
      </w:tr>
      <w:tr w14:paraId="569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2B8188B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3E988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拼接螺栓C2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6CEA9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M16*180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5C704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DFFE7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27327</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27D65EF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789C3F7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7C1A5B65">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4.8级（防盗）</w:t>
            </w:r>
          </w:p>
        </w:tc>
      </w:tr>
      <w:tr w14:paraId="3B03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24A38B6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67F1A9">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拼接螺栓A3</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98956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M16*37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827CB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31126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47820</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090073B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3B8B67D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7D30F8D9">
            <w:pPr>
              <w:widowControl w:val="0"/>
              <w:spacing w:beforeLines="0" w:afterLine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10.9级（防盗）</w:t>
            </w:r>
          </w:p>
        </w:tc>
      </w:tr>
      <w:tr w14:paraId="642C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6857010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345DE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连接螺栓B3</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2826E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M16*50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E2C6F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318F0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15964</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73360AF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1CFA481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32FBC829">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8.8级（防盗）</w:t>
            </w:r>
          </w:p>
        </w:tc>
      </w:tr>
      <w:tr w14:paraId="62B5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5A6486E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9BD35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连接螺栓C3</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9296F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M16*180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B6D79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61F6B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15940</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54766E7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501FBFB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08E06927">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4.8级（防盗）</w:t>
            </w:r>
          </w:p>
        </w:tc>
      </w:tr>
      <w:tr w14:paraId="39D5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47B3B16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43E6C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连接螺栓JII-1-1</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F144E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M16*47</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B431A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279563">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336</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169BBC5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5472E425">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297EF3D1">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Q235（普通）</w:t>
            </w:r>
          </w:p>
        </w:tc>
      </w:tr>
      <w:tr w14:paraId="01DE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36E103CC">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AD321D">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连接螺栓JII-2-1</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EF4A30">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M16*172</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FA386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F077F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336</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168CFD2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56AF1914">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31620A44">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Q235（普通）</w:t>
            </w:r>
          </w:p>
        </w:tc>
      </w:tr>
      <w:tr w14:paraId="3119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pct"/>
            <w:tcBorders>
              <w:top w:val="single" w:color="auto" w:sz="4" w:space="0"/>
              <w:left w:val="single" w:color="auto" w:sz="4" w:space="0"/>
              <w:bottom w:val="single" w:color="auto" w:sz="4" w:space="0"/>
              <w:right w:val="single" w:color="auto" w:sz="4" w:space="0"/>
              <w:tl2br w:val="nil"/>
              <w:tr2bl w:val="nil"/>
            </w:tcBorders>
            <w:noWrap/>
            <w:vAlign w:val="center"/>
          </w:tcPr>
          <w:p w14:paraId="755F184E">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6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92A986">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拼接螺栓JI-2</w:t>
            </w:r>
          </w:p>
        </w:tc>
        <w:tc>
          <w:tcPr>
            <w:tcW w:w="7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FD38AA">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M16*40</w:t>
            </w:r>
          </w:p>
        </w:tc>
        <w:tc>
          <w:tcPr>
            <w:tcW w:w="32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6F3C61">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2FBBF7">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1344</w:t>
            </w:r>
          </w:p>
        </w:tc>
        <w:tc>
          <w:tcPr>
            <w:tcW w:w="727" w:type="pct"/>
            <w:tcBorders>
              <w:top w:val="single" w:color="auto" w:sz="4" w:space="0"/>
              <w:left w:val="single" w:color="auto" w:sz="4" w:space="0"/>
              <w:bottom w:val="single" w:color="auto" w:sz="4" w:space="0"/>
              <w:right w:val="single" w:color="auto" w:sz="4" w:space="0"/>
              <w:tl2br w:val="nil"/>
              <w:tr2bl w:val="nil"/>
            </w:tcBorders>
            <w:noWrap/>
            <w:vAlign w:val="center"/>
          </w:tcPr>
          <w:p w14:paraId="786540E2">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9" w:type="pct"/>
            <w:tcBorders>
              <w:top w:val="single" w:color="auto" w:sz="4" w:space="0"/>
              <w:left w:val="single" w:color="auto" w:sz="4" w:space="0"/>
              <w:bottom w:val="single" w:color="auto" w:sz="4" w:space="0"/>
              <w:right w:val="single" w:color="auto" w:sz="4" w:space="0"/>
              <w:tl2br w:val="nil"/>
              <w:tr2bl w:val="nil"/>
            </w:tcBorders>
            <w:noWrap/>
            <w:vAlign w:val="center"/>
          </w:tcPr>
          <w:p w14:paraId="6CDB192F">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0"/>
                <w:szCs w:val="20"/>
                <w:lang w:val="en-US" w:eastAsia="zh-CN"/>
              </w:rPr>
            </w:pPr>
          </w:p>
        </w:tc>
        <w:tc>
          <w:tcPr>
            <w:tcW w:w="826" w:type="pct"/>
            <w:tcBorders>
              <w:top w:val="single" w:color="auto" w:sz="4" w:space="0"/>
              <w:left w:val="single" w:color="auto" w:sz="4" w:space="0"/>
              <w:bottom w:val="single" w:color="auto" w:sz="4" w:space="0"/>
              <w:right w:val="single" w:color="auto" w:sz="4" w:space="0"/>
              <w:tl2br w:val="nil"/>
              <w:tr2bl w:val="nil"/>
            </w:tcBorders>
            <w:noWrap/>
            <w:vAlign w:val="center"/>
          </w:tcPr>
          <w:p w14:paraId="2D35DD9A">
            <w:pPr>
              <w:widowControl w:val="0"/>
              <w:spacing w:beforeLines="0" w:afterLine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45号钢（普通）</w:t>
            </w:r>
          </w:p>
        </w:tc>
      </w:tr>
      <w:tr w14:paraId="615D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30"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EB6ABD1">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合计（</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316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55E76BF">
            <w:pPr>
              <w:keepNext w:val="0"/>
              <w:keepLines w:val="0"/>
              <w:pageBreakBefore w:val="0"/>
              <w:widowControl w:val="0"/>
              <w:kinsoku/>
              <w:wordWrap/>
              <w:overflowPunct/>
              <w:topLinePunct w:val="0"/>
              <w:autoSpaceDE/>
              <w:autoSpaceDN/>
              <w:bidi w:val="0"/>
              <w:adjustRightInd/>
              <w:snapToGrid/>
              <w:spacing w:afterLines="0" w:line="240" w:lineRule="auto"/>
              <w:ind w:firstLine="400" w:firstLineChars="200"/>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大写：</w:t>
            </w:r>
            <w:r>
              <w:rPr>
                <w:rFonts w:hint="eastAsia" w:ascii="宋体" w:hAnsi="宋体" w:eastAsia="宋体" w:cs="宋体"/>
                <w:sz w:val="20"/>
                <w:szCs w:val="20"/>
                <w:u w:val="single"/>
                <w:lang w:val="en-US" w:eastAsia="zh-CN"/>
              </w:rPr>
              <w:t xml:space="preserve">                    </w:t>
            </w:r>
          </w:p>
          <w:p w14:paraId="77D6C637">
            <w:pPr>
              <w:keepNext w:val="0"/>
              <w:keepLines w:val="0"/>
              <w:pageBreakBefore w:val="0"/>
              <w:widowControl w:val="0"/>
              <w:kinsoku/>
              <w:wordWrap/>
              <w:overflowPunct/>
              <w:topLinePunct w:val="0"/>
              <w:autoSpaceDE/>
              <w:autoSpaceDN/>
              <w:bidi w:val="0"/>
              <w:adjustRightInd/>
              <w:snapToGrid/>
              <w:spacing w:after="120" w:afterLines="0" w:line="240" w:lineRule="auto"/>
              <w:ind w:left="0" w:leftChars="0" w:firstLine="400" w:firstLineChars="200"/>
              <w:jc w:val="both"/>
              <w:textAlignment w:val="auto"/>
              <w:rPr>
                <w:rFonts w:hint="default" w:ascii="Times New Roman" w:hAnsi="Times New Roman" w:eastAsia="宋体" w:cs="宋体"/>
                <w:color w:val="000000"/>
                <w:kern w:val="2"/>
                <w:sz w:val="21"/>
                <w:szCs w:val="21"/>
                <w:lang w:val="en-US" w:eastAsia="zh-CN" w:bidi="ar-SA"/>
              </w:rPr>
            </w:pPr>
            <w:r>
              <w:rPr>
                <w:rFonts w:hint="eastAsia" w:ascii="宋体" w:hAnsi="宋体" w:eastAsia="宋体" w:cs="宋体"/>
                <w:color w:val="000000"/>
                <w:kern w:val="2"/>
                <w:sz w:val="20"/>
                <w:szCs w:val="20"/>
                <w:lang w:val="en-US" w:eastAsia="zh-CN" w:bidi="ar-SA"/>
              </w:rPr>
              <w:t>小写：</w:t>
            </w:r>
            <w:r>
              <w:rPr>
                <w:rFonts w:hint="eastAsia" w:ascii="宋体" w:hAnsi="宋体" w:eastAsia="宋体" w:cs="宋体"/>
                <w:color w:val="000000"/>
                <w:kern w:val="2"/>
                <w:sz w:val="20"/>
                <w:szCs w:val="20"/>
                <w:u w:val="single"/>
                <w:lang w:val="en-US" w:eastAsia="zh-CN" w:bidi="ar-SA"/>
              </w:rPr>
              <w:t xml:space="preserve">                    </w:t>
            </w:r>
          </w:p>
        </w:tc>
      </w:tr>
      <w:tr w14:paraId="339D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00" w:type="pct"/>
            <w:gridSpan w:val="8"/>
            <w:tcBorders>
              <w:top w:val="single" w:color="auto" w:sz="4" w:space="0"/>
              <w:left w:val="single" w:color="auto" w:sz="4" w:space="0"/>
              <w:bottom w:val="single" w:color="auto" w:sz="4" w:space="0"/>
              <w:right w:val="single" w:color="auto" w:sz="4" w:space="0"/>
              <w:tl2br w:val="nil"/>
              <w:tr2bl w:val="nil"/>
            </w:tcBorders>
            <w:noWrap/>
            <w:vAlign w:val="center"/>
          </w:tcPr>
          <w:p w14:paraId="4E36C92E">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eastAsia="宋体" w:cs="宋体"/>
                <w:sz w:val="20"/>
                <w:szCs w:val="20"/>
                <w:lang w:val="en-US" w:eastAsia="zh-CN"/>
              </w:rPr>
              <w:t>说明：具体要求详见</w:t>
            </w:r>
            <w:r>
              <w:rPr>
                <w:rFonts w:hint="eastAsia" w:ascii="宋体" w:hAnsi="宋体" w:eastAsia="宋体" w:cs="宋体"/>
                <w:sz w:val="20"/>
                <w:szCs w:val="20"/>
                <w:u w:val="none"/>
                <w:lang w:val="en-US" w:eastAsia="zh-CN"/>
              </w:rPr>
              <w:t>杭新景（杭千）高速公路2025年交安设施提升工程施工图设计</w:t>
            </w: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37D5AD0">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7B68BFB">
      <w:pPr>
        <w:pStyle w:val="46"/>
        <w:ind w:left="0" w:leftChars="0" w:firstLine="0" w:firstLineChars="0"/>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6"/>
        </w:numPr>
        <w:spacing w:line="360" w:lineRule="auto"/>
        <w:ind w:firstLine="643"/>
        <w:jc w:val="center"/>
        <w:outlineLvl w:val="1"/>
        <w:rPr>
          <w:rFonts w:hint="eastAsia" w:ascii="宋体" w:hAnsi="宋体" w:eastAsia="宋体" w:cs="宋体"/>
          <w:b/>
          <w:bCs/>
          <w:sz w:val="32"/>
          <w:szCs w:val="32"/>
        </w:rPr>
      </w:pPr>
      <w:bookmarkStart w:id="114" w:name="_Toc11325"/>
      <w:bookmarkStart w:id="115" w:name="_Toc27899"/>
      <w:bookmarkStart w:id="116" w:name="_Toc468"/>
      <w:bookmarkStart w:id="117" w:name="_Toc501460793"/>
      <w:bookmarkStart w:id="118" w:name="_Toc14867_WPSOffice_Level1"/>
      <w:r>
        <w:rPr>
          <w:rFonts w:hint="eastAsia" w:ascii="宋体" w:hAnsi="宋体" w:eastAsia="宋体" w:cs="宋体"/>
          <w:b/>
          <w:bCs/>
          <w:sz w:val="32"/>
          <w:szCs w:val="32"/>
        </w:rPr>
        <w:t>资格审查资料</w:t>
      </w:r>
      <w:bookmarkEnd w:id="114"/>
      <w:bookmarkEnd w:id="115"/>
      <w:bookmarkEnd w:id="116"/>
      <w:bookmarkEnd w:id="117"/>
      <w:bookmarkEnd w:id="118"/>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19" w:name="_Toc18014"/>
      <w:bookmarkStart w:id="120" w:name="_Toc501460794"/>
      <w:bookmarkStart w:id="121" w:name="_Toc22480"/>
      <w:bookmarkStart w:id="122" w:name="_Toc6423"/>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19"/>
      <w:bookmarkEnd w:id="120"/>
      <w:bookmarkEnd w:id="121"/>
      <w:bookmarkEnd w:id="122"/>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3" w:name="_Toc31342"/>
      <w:bookmarkStart w:id="124"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3"/>
      <w:bookmarkEnd w:id="124"/>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1.企业法人营业执照的复印件（加盖单位章）</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5" w:name="_Toc24871"/>
      <w:bookmarkStart w:id="126" w:name="_Toc27392"/>
      <w:r>
        <w:rPr>
          <w:rFonts w:hint="eastAsia" w:ascii="仿宋" w:hAnsi="仿宋" w:eastAsia="仿宋" w:cs="仿宋"/>
          <w:kern w:val="2"/>
          <w:sz w:val="28"/>
          <w:szCs w:val="28"/>
          <w:lang w:val="en-US" w:eastAsia="zh-CN" w:bidi="ar-SA"/>
        </w:rPr>
        <w:t>2.基本账户开户许可证的复印件（加盖单位章）</w:t>
      </w:r>
      <w:bookmarkEnd w:id="125"/>
      <w:bookmarkEnd w:id="126"/>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7" w:name="_Toc30396"/>
      <w:bookmarkStart w:id="128" w:name="_Toc32670"/>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27"/>
      <w:bookmarkEnd w:id="128"/>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9" w:name="_Toc18208"/>
      <w:bookmarkStart w:id="130" w:name="_Toc23087"/>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29"/>
      <w:bookmarkEnd w:id="130"/>
    </w:p>
    <w:tbl>
      <w:tblPr>
        <w:tblStyle w:val="27"/>
        <w:tblW w:w="872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756BC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1514963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525A65F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581241F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32CA796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1DFD91B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24CE81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4AEB60C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w:t>
            </w:r>
            <w:r>
              <w:rPr>
                <w:rFonts w:hint="eastAsia" w:asciiTheme="minorEastAsia" w:hAnsiTheme="minorEastAsia" w:eastAsiaTheme="minorEastAsia" w:cstheme="minorEastAsia"/>
                <w:sz w:val="21"/>
                <w:szCs w:val="21"/>
                <w:lang w:val="en-US" w:eastAsia="zh-CN"/>
              </w:rPr>
              <w:t>工作</w:t>
            </w:r>
            <w:r>
              <w:rPr>
                <w:rFonts w:hint="eastAsia" w:asciiTheme="minorEastAsia" w:hAnsiTheme="minorEastAsia" w:eastAsiaTheme="minorEastAsia" w:cstheme="minorEastAsia"/>
                <w:sz w:val="21"/>
                <w:szCs w:val="21"/>
              </w:rPr>
              <w:t>经验年限</w:t>
            </w:r>
          </w:p>
        </w:tc>
        <w:tc>
          <w:tcPr>
            <w:tcW w:w="1195" w:type="dxa"/>
            <w:noWrap w:val="0"/>
            <w:vAlign w:val="center"/>
          </w:tcPr>
          <w:p w14:paraId="2D8AD0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83D88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5F2403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AE0EFE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8498150">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35DA58F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A62B228">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6ECBD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6AF48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30626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E547C7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177EF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A1A33A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发货员</w:t>
            </w:r>
          </w:p>
        </w:tc>
        <w:tc>
          <w:tcPr>
            <w:tcW w:w="1195" w:type="dxa"/>
            <w:noWrap w:val="0"/>
            <w:vAlign w:val="top"/>
          </w:tcPr>
          <w:p w14:paraId="02C740D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4BB5F6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D4A2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1C7455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34B01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1204EA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6654E5">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F25511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7191CCC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D9237D0">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D6F5FE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7C620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A6165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48" w:type="dxa"/>
            <w:noWrap w:val="0"/>
            <w:vAlign w:val="top"/>
          </w:tcPr>
          <w:p w14:paraId="64B48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981A0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D2A723">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p>
        </w:tc>
        <w:tc>
          <w:tcPr>
            <w:tcW w:w="1195" w:type="dxa"/>
            <w:noWrap w:val="0"/>
            <w:vAlign w:val="top"/>
          </w:tcPr>
          <w:p w14:paraId="2E13D8A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BC999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128BF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656ABD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ECC8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9DAE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5B99D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464FA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4DBBC57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0AAE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921C0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30E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9193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95618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537CB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1B924C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4B0066F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606B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ECCB4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CC9EB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F15B0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FBCFB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87DFF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4F14D85">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p>
        </w:tc>
        <w:tc>
          <w:tcPr>
            <w:tcW w:w="1195" w:type="dxa"/>
            <w:noWrap w:val="0"/>
            <w:vAlign w:val="top"/>
          </w:tcPr>
          <w:p w14:paraId="56EB7B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47253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1E3DD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194AE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2071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1CFC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BE7E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7DDD95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4615F2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32AC48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9999C5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7217E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A662B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873512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B161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F5D95F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A0524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286E1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0778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F8A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D4063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8DB3E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A08F8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F0441E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83C1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3F46E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BB7A4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3C2F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6927D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B3B9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64BD8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07FE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68D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0E8E4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B2929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1A67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4"/>
        <w:rPr>
          <w:rFonts w:hint="eastAsia" w:asciiTheme="minorEastAsia" w:hAnsiTheme="minorEastAsia" w:eastAsiaTheme="minorEastAsia" w:cstheme="minorEastAsia"/>
          <w:sz w:val="21"/>
          <w:szCs w:val="21"/>
          <w:lang w:val="en-US" w:eastAsia="zh-CN"/>
        </w:rPr>
      </w:pPr>
    </w:p>
    <w:p w14:paraId="07F979AC">
      <w:pPr>
        <w:pStyle w:val="1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E5B9142">
      <w:pPr>
        <w:adjustRightInd w:val="0"/>
        <w:snapToGrid w:val="0"/>
        <w:spacing w:line="480" w:lineRule="auto"/>
        <w:ind w:firstLine="420" w:firstLineChars="200"/>
        <w:rPr>
          <w:rFonts w:hint="eastAsia" w:ascii="宋体" w:hAnsi="宋体" w:cs="宋体"/>
          <w:szCs w:val="21"/>
          <w:lang w:val="en-US" w:eastAsia="zh-CN"/>
        </w:rPr>
      </w:pP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Theme="minorEastAsia" w:hAnsiTheme="minorEastAsia" w:eastAsiaTheme="minorEastAsia" w:cstheme="minorEastAsia"/>
          <w:kern w:val="2"/>
          <w:sz w:val="21"/>
          <w:szCs w:val="21"/>
          <w:lang w:val="en-US" w:eastAsia="zh-CN" w:bidi="ar-SA"/>
        </w:rPr>
        <w:t>项目负责人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项目负责人</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Theme="minorEastAsia" w:hAnsiTheme="minorEastAsia" w:eastAsiaTheme="minorEastAsia" w:cstheme="minorEastAsia"/>
          <w:kern w:val="2"/>
          <w:sz w:val="21"/>
          <w:szCs w:val="21"/>
          <w:lang w:val="en-US" w:eastAsia="zh-CN" w:bidi="ar-SA"/>
        </w:rPr>
        <w:t>发货员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发货员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③</w:t>
      </w:r>
      <w:r>
        <w:rPr>
          <w:rFonts w:hint="eastAsia" w:asciiTheme="minorEastAsia" w:hAnsiTheme="minorEastAsia" w:eastAsiaTheme="minorEastAsia" w:cstheme="minorEastAsia"/>
          <w:kern w:val="2"/>
          <w:sz w:val="21"/>
          <w:szCs w:val="21"/>
          <w:lang w:val="en-US" w:eastAsia="zh-CN" w:bidi="ar-SA"/>
        </w:rPr>
        <w:t>普工</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普工</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2"/>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1"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1"/>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bl>
    <w:p w14:paraId="69193B81">
      <w:pPr>
        <w:pStyle w:val="12"/>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2"/>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2"/>
        <w:adjustRightInd w:val="0"/>
        <w:snapToGrid w:val="0"/>
        <w:spacing w:line="520" w:lineRule="exact"/>
        <w:rPr>
          <w:rFonts w:hint="eastAsia" w:ascii="仿宋" w:hAnsi="仿宋" w:eastAsia="仿宋" w:cs="仿宋"/>
          <w:color w:val="auto"/>
          <w:sz w:val="24"/>
          <w:szCs w:val="24"/>
          <w:highlight w:val="none"/>
        </w:rPr>
      </w:pPr>
    </w:p>
    <w:p w14:paraId="785B29C6">
      <w:pPr>
        <w:pStyle w:val="12"/>
        <w:adjustRightInd w:val="0"/>
        <w:snapToGrid w:val="0"/>
        <w:spacing w:line="520" w:lineRule="exact"/>
        <w:rPr>
          <w:rFonts w:hint="eastAsia" w:ascii="仿宋" w:hAnsi="仿宋" w:eastAsia="仿宋" w:cs="仿宋"/>
          <w:color w:val="auto"/>
          <w:sz w:val="24"/>
          <w:szCs w:val="24"/>
          <w:highlight w:val="none"/>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32"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32"/>
    </w:p>
    <w:p w14:paraId="52107E9D">
      <w:pPr>
        <w:pStyle w:val="46"/>
        <w:numPr>
          <w:ilvl w:val="0"/>
          <w:numId w:val="7"/>
        </w:numPr>
        <w:ind w:firstLine="0" w:firstLineChars="0"/>
        <w:rPr>
          <w:rFonts w:hint="eastAsia" w:ascii="Times New Roman" w:hAnsi="Times New Roman" w:eastAsia="宋体" w:cs="宋体"/>
        </w:rPr>
      </w:pPr>
      <w:r>
        <w:rPr>
          <w:rFonts w:hint="eastAsia" w:ascii="Times New Roman" w:hAnsi="Times New Roman" w:eastAsia="宋体" w:cs="宋体"/>
          <w:sz w:val="24"/>
          <w:szCs w:val="20"/>
          <w:lang w:val="en-US" w:eastAsia="zh-CN"/>
        </w:rPr>
        <w:t>需</w:t>
      </w:r>
      <w:r>
        <w:rPr>
          <w:rFonts w:hint="eastAsia" w:ascii="Times New Roman" w:hAnsi="Times New Roman" w:eastAsia="宋体" w:cs="宋体"/>
          <w:lang w:val="en-US" w:eastAsia="zh-CN"/>
        </w:rPr>
        <w:t>提供</w:t>
      </w:r>
      <w:r>
        <w:rPr>
          <w:rFonts w:hint="eastAsia" w:ascii="Times New Roman" w:hAnsi="Times New Roman" w:eastAsia="宋体" w:cs="宋体"/>
        </w:rPr>
        <w:t>材料质量保证措施</w:t>
      </w:r>
      <w:r>
        <w:rPr>
          <w:rFonts w:hint="eastAsia" w:ascii="Times New Roman" w:hAnsi="Times New Roman" w:eastAsia="宋体" w:cs="宋体"/>
          <w:lang w:eastAsia="zh-CN"/>
        </w:rPr>
        <w:t>、</w:t>
      </w:r>
      <w:r>
        <w:rPr>
          <w:rFonts w:hint="eastAsia" w:ascii="Times New Roman" w:hAnsi="Times New Roman" w:eastAsia="宋体" w:cs="宋体"/>
        </w:rPr>
        <w:t>材料保供措施</w:t>
      </w:r>
      <w:r>
        <w:rPr>
          <w:rFonts w:hint="eastAsia" w:ascii="Times New Roman" w:hAnsi="Times New Roman" w:eastAsia="宋体" w:cs="宋体"/>
          <w:lang w:eastAsia="zh-CN"/>
        </w:rPr>
        <w:t>、</w:t>
      </w:r>
      <w:r>
        <w:rPr>
          <w:rFonts w:hint="eastAsia" w:ascii="Times New Roman" w:hAnsi="Times New Roman" w:eastAsia="宋体" w:cs="宋体"/>
        </w:rPr>
        <w:t>售后服务方案</w:t>
      </w:r>
      <w:r>
        <w:rPr>
          <w:rFonts w:hint="eastAsia" w:ascii="Times New Roman" w:hAnsi="Times New Roman" w:eastAsia="宋体" w:cs="宋体"/>
          <w:lang w:val="en-US" w:eastAsia="zh-CN"/>
        </w:rPr>
        <w:t>等</w:t>
      </w:r>
      <w:r>
        <w:rPr>
          <w:rFonts w:hint="eastAsia" w:cs="宋体"/>
          <w:lang w:val="en-US" w:eastAsia="zh-CN"/>
        </w:rPr>
        <w:t>；</w:t>
      </w:r>
    </w:p>
    <w:p w14:paraId="3D64C9B3">
      <w:pPr>
        <w:pStyle w:val="46"/>
        <w:numPr>
          <w:ilvl w:val="0"/>
          <w:numId w:val="7"/>
        </w:numPr>
        <w:ind w:firstLine="0" w:firstLineChars="0"/>
        <w:rPr>
          <w:rFonts w:hint="eastAsia" w:ascii="Times New Roman" w:hAnsi="Times New Roman" w:eastAsia="宋体" w:cs="宋体"/>
        </w:rPr>
      </w:pPr>
      <w:r>
        <w:rPr>
          <w:rFonts w:hint="eastAsia" w:cs="宋体"/>
          <w:lang w:val="en-US" w:eastAsia="zh-CN"/>
        </w:rPr>
        <w:t>产品质量检测相关资料；</w:t>
      </w:r>
    </w:p>
    <w:p w14:paraId="7B1E62CF">
      <w:pPr>
        <w:pStyle w:val="17"/>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33" w:name="_Toc423"/>
      <w:bookmarkStart w:id="134" w:name="_Toc2504"/>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33"/>
      <w:bookmarkEnd w:id="134"/>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杭新景（杭千）高速公路2025年交安设施提升工程钢护栏螺栓采购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77DA50D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宋体" w:hAnsi="宋体" w:cs="宋体"/>
          <w:szCs w:val="21"/>
          <w:u w:val="single"/>
          <w:lang w:val="en-US" w:eastAsia="zh-CN"/>
        </w:rPr>
        <w:t>杭新景（杭千）高速公路2025年交安设施提升工程钢护栏螺栓采购</w:t>
      </w:r>
      <w:r>
        <w:rPr>
          <w:rFonts w:hint="eastAsia" w:ascii="宋体" w:hAnsi="宋体" w:cs="宋体"/>
          <w:szCs w:val="21"/>
          <w:u w:val="single"/>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509BF31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70DC28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6AB3D7F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265D9CBA">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5262327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5F68C8E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w:t>
      </w:r>
      <w:r>
        <w:rPr>
          <w:rFonts w:hint="eastAsia" w:ascii="宋体" w:hAnsi="宋体" w:cs="宋体"/>
          <w:szCs w:val="21"/>
          <w:lang w:eastAsia="zh-CN"/>
        </w:rPr>
        <w:t>贵</w:t>
      </w:r>
      <w:r>
        <w:rPr>
          <w:rFonts w:hint="eastAsia" w:ascii="宋体" w:hAnsi="宋体" w:cs="宋体"/>
          <w:szCs w:val="21"/>
        </w:rPr>
        <w:t>方申请任何误工索赔。</w:t>
      </w:r>
    </w:p>
    <w:p w14:paraId="0B4D37D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5A938E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E412EA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F71F98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11.在合同执行过程中，我方将严格执行合同条款约定，全面履行合同义务和责任，服从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625158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12.我方所有参加施工的劳务人员工资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val="en-US"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，如造成人员工资拖欠的，自愿承担所有责任，决不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7CB893C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445838D">
      <w:pPr>
        <w:pStyle w:val="2"/>
        <w:rPr>
          <w:rFonts w:hint="eastAsia" w:ascii="宋体" w:hAnsi="宋体" w:cs="宋体"/>
          <w:szCs w:val="21"/>
        </w:rPr>
      </w:pPr>
    </w:p>
    <w:p w14:paraId="3BB87A3D">
      <w:pPr>
        <w:pStyle w:val="2"/>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日</w:t>
      </w:r>
    </w:p>
    <w:p w14:paraId="2AC0A758">
      <w:pPr>
        <w:pStyle w:val="4"/>
        <w:outlineLvl w:val="9"/>
        <w:rPr>
          <w:rFonts w:hint="eastAsia" w:ascii="宋体" w:hAnsi="宋体" w:cs="宋体"/>
          <w:szCs w:val="21"/>
        </w:rPr>
      </w:pPr>
    </w:p>
    <w:p w14:paraId="4EB4A2C5">
      <w:pPr>
        <w:rPr>
          <w:rFonts w:hint="eastAsia" w:ascii="宋体" w:hAnsi="宋体" w:cs="宋体"/>
          <w:szCs w:val="21"/>
        </w:rPr>
      </w:pPr>
    </w:p>
    <w:p w14:paraId="388E21B3">
      <w:pPr>
        <w:pStyle w:val="4"/>
        <w:outlineLvl w:val="9"/>
        <w:rPr>
          <w:rFonts w:hint="eastAsia" w:ascii="宋体" w:hAnsi="宋体" w:cs="宋体"/>
          <w:szCs w:val="21"/>
        </w:rPr>
      </w:pPr>
    </w:p>
    <w:p w14:paraId="07329AE9">
      <w:pPr>
        <w:rPr>
          <w:rFonts w:hint="eastAsia" w:ascii="宋体" w:hAnsi="宋体" w:cs="宋体"/>
          <w:szCs w:val="21"/>
        </w:rPr>
      </w:pPr>
    </w:p>
    <w:p w14:paraId="047DBDED">
      <w:pPr>
        <w:pStyle w:val="2"/>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DEEB5524"/>
    <w:multiLevelType w:val="singleLevel"/>
    <w:tmpl w:val="DEEB5524"/>
    <w:lvl w:ilvl="0" w:tentative="0">
      <w:start w:val="5"/>
      <w:numFmt w:val="chineseCounting"/>
      <w:suff w:val="nothing"/>
      <w:lvlText w:val="%1、"/>
      <w:lvlJc w:val="left"/>
      <w:rPr>
        <w:rFonts w:hint="eastAsia"/>
      </w:rPr>
    </w:lvl>
  </w:abstractNum>
  <w:abstractNum w:abstractNumId="3">
    <w:nsid w:val="41E04C2B"/>
    <w:multiLevelType w:val="singleLevel"/>
    <w:tmpl w:val="41E04C2B"/>
    <w:lvl w:ilvl="0" w:tentative="0">
      <w:start w:val="1"/>
      <w:numFmt w:val="decimal"/>
      <w:suff w:val="nothing"/>
      <w:lvlText w:val="%1、"/>
      <w:lvlJc w:val="left"/>
    </w:lvl>
  </w:abstractNum>
  <w:abstractNum w:abstractNumId="4">
    <w:nsid w:val="4FDE0B37"/>
    <w:multiLevelType w:val="singleLevel"/>
    <w:tmpl w:val="4FDE0B37"/>
    <w:lvl w:ilvl="0" w:tentative="0">
      <w:start w:val="1"/>
      <w:numFmt w:val="decimal"/>
      <w:suff w:val="nothing"/>
      <w:lvlText w:val="%1、"/>
      <w:lvlJc w:val="left"/>
    </w:lvl>
  </w:abstractNum>
  <w:abstractNum w:abstractNumId="5">
    <w:nsid w:val="56806E95"/>
    <w:multiLevelType w:val="singleLevel"/>
    <w:tmpl w:val="56806E95"/>
    <w:lvl w:ilvl="0" w:tentative="0">
      <w:start w:val="4"/>
      <w:numFmt w:val="chineseCounting"/>
      <w:suff w:val="nothing"/>
      <w:lvlText w:val="%1、"/>
      <w:lvlJc w:val="left"/>
      <w:rPr>
        <w:rFonts w:hint="eastAsia"/>
      </w:rPr>
    </w:lvl>
  </w:abstractNum>
  <w:abstractNum w:abstractNumId="6">
    <w:nsid w:val="58203055"/>
    <w:multiLevelType w:val="singleLevel"/>
    <w:tmpl w:val="58203055"/>
    <w:lvl w:ilvl="0" w:tentative="0">
      <w:start w:val="3"/>
      <w:numFmt w:val="chineseCounting"/>
      <w:suff w:val="space"/>
      <w:lvlText w:val="第%1章"/>
      <w:lvlJc w:val="left"/>
      <w:rPr>
        <w:rFonts w:hint="eastAsia"/>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D803E5"/>
    <w:rsid w:val="0213766F"/>
    <w:rsid w:val="0219059E"/>
    <w:rsid w:val="028247F4"/>
    <w:rsid w:val="02841A04"/>
    <w:rsid w:val="028440C8"/>
    <w:rsid w:val="028A61CF"/>
    <w:rsid w:val="02B0310F"/>
    <w:rsid w:val="02CD5FA7"/>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483AD3"/>
    <w:rsid w:val="05514565"/>
    <w:rsid w:val="057C546C"/>
    <w:rsid w:val="05876F86"/>
    <w:rsid w:val="05AE2FCB"/>
    <w:rsid w:val="05B03F9C"/>
    <w:rsid w:val="05D83526"/>
    <w:rsid w:val="05DA38E6"/>
    <w:rsid w:val="0608176A"/>
    <w:rsid w:val="061E4834"/>
    <w:rsid w:val="063C73BC"/>
    <w:rsid w:val="064F49ED"/>
    <w:rsid w:val="065011C5"/>
    <w:rsid w:val="06823DD1"/>
    <w:rsid w:val="0686429D"/>
    <w:rsid w:val="06B01930"/>
    <w:rsid w:val="06CE625A"/>
    <w:rsid w:val="06F26AA5"/>
    <w:rsid w:val="071C5217"/>
    <w:rsid w:val="0763639E"/>
    <w:rsid w:val="076C0488"/>
    <w:rsid w:val="07E775D3"/>
    <w:rsid w:val="0822685D"/>
    <w:rsid w:val="082F0F7A"/>
    <w:rsid w:val="087150EF"/>
    <w:rsid w:val="089B6527"/>
    <w:rsid w:val="08A63ECA"/>
    <w:rsid w:val="08F23F5E"/>
    <w:rsid w:val="091C3407"/>
    <w:rsid w:val="092E2FE0"/>
    <w:rsid w:val="09630EDC"/>
    <w:rsid w:val="09D771D4"/>
    <w:rsid w:val="0A3F0A3E"/>
    <w:rsid w:val="0A4E393A"/>
    <w:rsid w:val="0A717628"/>
    <w:rsid w:val="0ACB4F8A"/>
    <w:rsid w:val="0B4C599F"/>
    <w:rsid w:val="0B552D84"/>
    <w:rsid w:val="0B70168E"/>
    <w:rsid w:val="0BA31A63"/>
    <w:rsid w:val="0BF113B5"/>
    <w:rsid w:val="0BF15626"/>
    <w:rsid w:val="0C2B4320"/>
    <w:rsid w:val="0C3D5948"/>
    <w:rsid w:val="0C4F74F5"/>
    <w:rsid w:val="0CAD6419"/>
    <w:rsid w:val="0CCE693A"/>
    <w:rsid w:val="0CF67F73"/>
    <w:rsid w:val="0D3A5D59"/>
    <w:rsid w:val="0D605A69"/>
    <w:rsid w:val="0D631E83"/>
    <w:rsid w:val="0D933375"/>
    <w:rsid w:val="0DD01FDB"/>
    <w:rsid w:val="0E06452B"/>
    <w:rsid w:val="0E39220B"/>
    <w:rsid w:val="0E43308A"/>
    <w:rsid w:val="0E4532A6"/>
    <w:rsid w:val="0E5E7EC3"/>
    <w:rsid w:val="0E6D0107"/>
    <w:rsid w:val="0EF6634E"/>
    <w:rsid w:val="0F007BF2"/>
    <w:rsid w:val="0F5D461F"/>
    <w:rsid w:val="0F7D25CB"/>
    <w:rsid w:val="0F953D21"/>
    <w:rsid w:val="0FD83CA6"/>
    <w:rsid w:val="0FE7353C"/>
    <w:rsid w:val="1020781F"/>
    <w:rsid w:val="105263BA"/>
    <w:rsid w:val="106F63B8"/>
    <w:rsid w:val="1074577C"/>
    <w:rsid w:val="10AA15E5"/>
    <w:rsid w:val="10C90E80"/>
    <w:rsid w:val="10E30B54"/>
    <w:rsid w:val="10E548CC"/>
    <w:rsid w:val="10FB466E"/>
    <w:rsid w:val="114F4123"/>
    <w:rsid w:val="115D6771"/>
    <w:rsid w:val="11604301"/>
    <w:rsid w:val="1182211B"/>
    <w:rsid w:val="11A375C6"/>
    <w:rsid w:val="11D16BFE"/>
    <w:rsid w:val="11D47AD6"/>
    <w:rsid w:val="11F83303"/>
    <w:rsid w:val="12463DB9"/>
    <w:rsid w:val="12503FC7"/>
    <w:rsid w:val="12704F67"/>
    <w:rsid w:val="12795FF5"/>
    <w:rsid w:val="12A460C1"/>
    <w:rsid w:val="12AD1419"/>
    <w:rsid w:val="131250B7"/>
    <w:rsid w:val="13131232"/>
    <w:rsid w:val="132316DC"/>
    <w:rsid w:val="13442399"/>
    <w:rsid w:val="134B46F4"/>
    <w:rsid w:val="134C0770"/>
    <w:rsid w:val="134C29E0"/>
    <w:rsid w:val="13676411"/>
    <w:rsid w:val="136F27BD"/>
    <w:rsid w:val="13A82D01"/>
    <w:rsid w:val="13DF5602"/>
    <w:rsid w:val="141352AC"/>
    <w:rsid w:val="14593607"/>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A87B8F"/>
    <w:rsid w:val="16FF6F7D"/>
    <w:rsid w:val="170610F8"/>
    <w:rsid w:val="17334649"/>
    <w:rsid w:val="173E0892"/>
    <w:rsid w:val="17742506"/>
    <w:rsid w:val="17780248"/>
    <w:rsid w:val="177E5132"/>
    <w:rsid w:val="17993734"/>
    <w:rsid w:val="179C49C1"/>
    <w:rsid w:val="179E3A27"/>
    <w:rsid w:val="17DD62FD"/>
    <w:rsid w:val="181D494B"/>
    <w:rsid w:val="182F467F"/>
    <w:rsid w:val="1880043E"/>
    <w:rsid w:val="18AA6104"/>
    <w:rsid w:val="18F918E8"/>
    <w:rsid w:val="18FC6C57"/>
    <w:rsid w:val="19061883"/>
    <w:rsid w:val="195C49A7"/>
    <w:rsid w:val="196C7501"/>
    <w:rsid w:val="19A65265"/>
    <w:rsid w:val="19A846E9"/>
    <w:rsid w:val="19CF7EC7"/>
    <w:rsid w:val="19D62A32"/>
    <w:rsid w:val="19DF45AE"/>
    <w:rsid w:val="19ED7866"/>
    <w:rsid w:val="19F1575D"/>
    <w:rsid w:val="1A246465"/>
    <w:rsid w:val="1A5A3C35"/>
    <w:rsid w:val="1A9A61FE"/>
    <w:rsid w:val="1AE600F4"/>
    <w:rsid w:val="1B1F4E7E"/>
    <w:rsid w:val="1B837BD3"/>
    <w:rsid w:val="1B8D618A"/>
    <w:rsid w:val="1B8F1BE5"/>
    <w:rsid w:val="1B9C027D"/>
    <w:rsid w:val="1B9C202B"/>
    <w:rsid w:val="1B9E632D"/>
    <w:rsid w:val="1BB90A49"/>
    <w:rsid w:val="1BD9010B"/>
    <w:rsid w:val="1BF40766"/>
    <w:rsid w:val="1C057BD0"/>
    <w:rsid w:val="1C125497"/>
    <w:rsid w:val="1C273FEB"/>
    <w:rsid w:val="1C3A340C"/>
    <w:rsid w:val="1C3D2AB5"/>
    <w:rsid w:val="1C4032FE"/>
    <w:rsid w:val="1C5D0BEE"/>
    <w:rsid w:val="1C737230"/>
    <w:rsid w:val="1C7E642D"/>
    <w:rsid w:val="1C8256C5"/>
    <w:rsid w:val="1C8E5E18"/>
    <w:rsid w:val="1CD61119"/>
    <w:rsid w:val="1CE57117"/>
    <w:rsid w:val="1D0B6F5A"/>
    <w:rsid w:val="1DA5166B"/>
    <w:rsid w:val="1DB35768"/>
    <w:rsid w:val="1DBC69B5"/>
    <w:rsid w:val="1DC51D0D"/>
    <w:rsid w:val="1E3429EF"/>
    <w:rsid w:val="1E785109"/>
    <w:rsid w:val="1E831280"/>
    <w:rsid w:val="1E8474D2"/>
    <w:rsid w:val="1EAD0342"/>
    <w:rsid w:val="1EC24336"/>
    <w:rsid w:val="1EFF02D1"/>
    <w:rsid w:val="1F0B0657"/>
    <w:rsid w:val="1F1B7DBE"/>
    <w:rsid w:val="1F2F1585"/>
    <w:rsid w:val="1F433DA4"/>
    <w:rsid w:val="1F781625"/>
    <w:rsid w:val="1F7C63FB"/>
    <w:rsid w:val="1FBA5176"/>
    <w:rsid w:val="209459C7"/>
    <w:rsid w:val="20A43E5C"/>
    <w:rsid w:val="20A51982"/>
    <w:rsid w:val="20A53730"/>
    <w:rsid w:val="20BA2452"/>
    <w:rsid w:val="210421A0"/>
    <w:rsid w:val="210F229C"/>
    <w:rsid w:val="212215B2"/>
    <w:rsid w:val="212A1E87"/>
    <w:rsid w:val="214A0C0A"/>
    <w:rsid w:val="21584C46"/>
    <w:rsid w:val="21AB121A"/>
    <w:rsid w:val="21AC2B1A"/>
    <w:rsid w:val="21B26104"/>
    <w:rsid w:val="21C4457A"/>
    <w:rsid w:val="21D97E89"/>
    <w:rsid w:val="21FF256B"/>
    <w:rsid w:val="220B3A67"/>
    <w:rsid w:val="22204870"/>
    <w:rsid w:val="22252D7A"/>
    <w:rsid w:val="225D0766"/>
    <w:rsid w:val="225E4B43"/>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507AF"/>
    <w:rsid w:val="24567947"/>
    <w:rsid w:val="249F5A09"/>
    <w:rsid w:val="24C22B02"/>
    <w:rsid w:val="24CA07A9"/>
    <w:rsid w:val="24FB11EC"/>
    <w:rsid w:val="250A6257"/>
    <w:rsid w:val="254F2E38"/>
    <w:rsid w:val="256B13EC"/>
    <w:rsid w:val="257813EE"/>
    <w:rsid w:val="257B7155"/>
    <w:rsid w:val="25AD445A"/>
    <w:rsid w:val="25AF4370"/>
    <w:rsid w:val="25BA4DE0"/>
    <w:rsid w:val="25C84D63"/>
    <w:rsid w:val="25D14386"/>
    <w:rsid w:val="25DD396C"/>
    <w:rsid w:val="25E0208E"/>
    <w:rsid w:val="25E82A9C"/>
    <w:rsid w:val="260F0B9D"/>
    <w:rsid w:val="262019E5"/>
    <w:rsid w:val="263353D4"/>
    <w:rsid w:val="268D331A"/>
    <w:rsid w:val="26B92096"/>
    <w:rsid w:val="26F64CE5"/>
    <w:rsid w:val="27007912"/>
    <w:rsid w:val="27482B67"/>
    <w:rsid w:val="27530F7A"/>
    <w:rsid w:val="280C54CA"/>
    <w:rsid w:val="285048C9"/>
    <w:rsid w:val="28757E8C"/>
    <w:rsid w:val="288C6B47"/>
    <w:rsid w:val="28A31923"/>
    <w:rsid w:val="28D64DCE"/>
    <w:rsid w:val="28FC05AD"/>
    <w:rsid w:val="2945573D"/>
    <w:rsid w:val="294C5091"/>
    <w:rsid w:val="2968712D"/>
    <w:rsid w:val="29851E22"/>
    <w:rsid w:val="29B35110"/>
    <w:rsid w:val="2A165ACF"/>
    <w:rsid w:val="2A1720C6"/>
    <w:rsid w:val="2A1A0CEB"/>
    <w:rsid w:val="2A454192"/>
    <w:rsid w:val="2A9A007E"/>
    <w:rsid w:val="2AA131BA"/>
    <w:rsid w:val="2AAB4039"/>
    <w:rsid w:val="2AB248D7"/>
    <w:rsid w:val="2AD05921"/>
    <w:rsid w:val="2B011EAB"/>
    <w:rsid w:val="2B113A59"/>
    <w:rsid w:val="2B1C685B"/>
    <w:rsid w:val="2B481888"/>
    <w:rsid w:val="2B584A36"/>
    <w:rsid w:val="2B660A59"/>
    <w:rsid w:val="2B9176D3"/>
    <w:rsid w:val="2BBD4893"/>
    <w:rsid w:val="2BC36CBB"/>
    <w:rsid w:val="2C387B4E"/>
    <w:rsid w:val="2C532BDA"/>
    <w:rsid w:val="2C6E135B"/>
    <w:rsid w:val="2C7812AD"/>
    <w:rsid w:val="2C8C7F23"/>
    <w:rsid w:val="2C9B5967"/>
    <w:rsid w:val="2CA43435"/>
    <w:rsid w:val="2CAD255A"/>
    <w:rsid w:val="2CDB588B"/>
    <w:rsid w:val="2D41454E"/>
    <w:rsid w:val="2D6C79CA"/>
    <w:rsid w:val="2D963F0A"/>
    <w:rsid w:val="2DC642CD"/>
    <w:rsid w:val="2DCA2A28"/>
    <w:rsid w:val="2DD815E9"/>
    <w:rsid w:val="2E20089A"/>
    <w:rsid w:val="2E4B074B"/>
    <w:rsid w:val="2ECB2EFB"/>
    <w:rsid w:val="2EF30613"/>
    <w:rsid w:val="2F2E2020"/>
    <w:rsid w:val="2F5A7DDB"/>
    <w:rsid w:val="2F964923"/>
    <w:rsid w:val="2F9A3B53"/>
    <w:rsid w:val="2FC05727"/>
    <w:rsid w:val="2FD4060D"/>
    <w:rsid w:val="2FD44032"/>
    <w:rsid w:val="2FE429EE"/>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C0530"/>
    <w:rsid w:val="32E15AC4"/>
    <w:rsid w:val="3321214E"/>
    <w:rsid w:val="334C3C69"/>
    <w:rsid w:val="33582884"/>
    <w:rsid w:val="335A29C3"/>
    <w:rsid w:val="34C36687"/>
    <w:rsid w:val="34E97C37"/>
    <w:rsid w:val="34F77D06"/>
    <w:rsid w:val="352E4E1D"/>
    <w:rsid w:val="35632A14"/>
    <w:rsid w:val="359027A9"/>
    <w:rsid w:val="359502CA"/>
    <w:rsid w:val="35C97A69"/>
    <w:rsid w:val="3616569B"/>
    <w:rsid w:val="362B2720"/>
    <w:rsid w:val="363650FE"/>
    <w:rsid w:val="363825C4"/>
    <w:rsid w:val="36512055"/>
    <w:rsid w:val="367077C6"/>
    <w:rsid w:val="3687595A"/>
    <w:rsid w:val="36897924"/>
    <w:rsid w:val="36B424C7"/>
    <w:rsid w:val="36BE70F6"/>
    <w:rsid w:val="36CA3A99"/>
    <w:rsid w:val="3716217A"/>
    <w:rsid w:val="372D5AED"/>
    <w:rsid w:val="37645C9B"/>
    <w:rsid w:val="37BB2286"/>
    <w:rsid w:val="37C4673A"/>
    <w:rsid w:val="3857135C"/>
    <w:rsid w:val="387B329C"/>
    <w:rsid w:val="38AD4B48"/>
    <w:rsid w:val="38B478C6"/>
    <w:rsid w:val="38CA7A97"/>
    <w:rsid w:val="38CC7E39"/>
    <w:rsid w:val="38DC1951"/>
    <w:rsid w:val="39162FC5"/>
    <w:rsid w:val="3951009C"/>
    <w:rsid w:val="397F748B"/>
    <w:rsid w:val="398268AC"/>
    <w:rsid w:val="3986014B"/>
    <w:rsid w:val="399F745E"/>
    <w:rsid w:val="39C6647F"/>
    <w:rsid w:val="3A432053"/>
    <w:rsid w:val="3A641B67"/>
    <w:rsid w:val="3A75699A"/>
    <w:rsid w:val="3AA840F1"/>
    <w:rsid w:val="3AE0014B"/>
    <w:rsid w:val="3B1D3BC0"/>
    <w:rsid w:val="3B5322AF"/>
    <w:rsid w:val="3B8C3C43"/>
    <w:rsid w:val="3BFF5F92"/>
    <w:rsid w:val="3C097EF0"/>
    <w:rsid w:val="3C2E55CC"/>
    <w:rsid w:val="3C5732A6"/>
    <w:rsid w:val="3CA371CC"/>
    <w:rsid w:val="3CC35212"/>
    <w:rsid w:val="3CCB1561"/>
    <w:rsid w:val="3CCD4B1C"/>
    <w:rsid w:val="3CEA7404"/>
    <w:rsid w:val="3D1020D1"/>
    <w:rsid w:val="3D1912D6"/>
    <w:rsid w:val="3D712EC0"/>
    <w:rsid w:val="3DE22613"/>
    <w:rsid w:val="3DF67B6E"/>
    <w:rsid w:val="3E5013D7"/>
    <w:rsid w:val="3EB934C9"/>
    <w:rsid w:val="3F1408EF"/>
    <w:rsid w:val="3F4168C2"/>
    <w:rsid w:val="3F6530F9"/>
    <w:rsid w:val="3F6A5E19"/>
    <w:rsid w:val="3F780536"/>
    <w:rsid w:val="3F7B0026"/>
    <w:rsid w:val="3F9741BF"/>
    <w:rsid w:val="3F993958"/>
    <w:rsid w:val="3FB6105E"/>
    <w:rsid w:val="3FC03C8B"/>
    <w:rsid w:val="3FCE310B"/>
    <w:rsid w:val="3FE21E53"/>
    <w:rsid w:val="401144E6"/>
    <w:rsid w:val="406960D0"/>
    <w:rsid w:val="408B4299"/>
    <w:rsid w:val="40A35A86"/>
    <w:rsid w:val="40F14E1A"/>
    <w:rsid w:val="410E2311"/>
    <w:rsid w:val="4140317B"/>
    <w:rsid w:val="415428DD"/>
    <w:rsid w:val="415E4D6C"/>
    <w:rsid w:val="4165248F"/>
    <w:rsid w:val="41940CE7"/>
    <w:rsid w:val="41B4781F"/>
    <w:rsid w:val="41F06AA9"/>
    <w:rsid w:val="41FA39B9"/>
    <w:rsid w:val="423821FE"/>
    <w:rsid w:val="4260270F"/>
    <w:rsid w:val="42870EC3"/>
    <w:rsid w:val="42A81132"/>
    <w:rsid w:val="42C46437"/>
    <w:rsid w:val="42E83C24"/>
    <w:rsid w:val="433C7ACC"/>
    <w:rsid w:val="43C9697B"/>
    <w:rsid w:val="44091E87"/>
    <w:rsid w:val="440E1469"/>
    <w:rsid w:val="44446C38"/>
    <w:rsid w:val="444E7AB7"/>
    <w:rsid w:val="444F55DD"/>
    <w:rsid w:val="445B0426"/>
    <w:rsid w:val="452151CC"/>
    <w:rsid w:val="45E16C19"/>
    <w:rsid w:val="45EA09CA"/>
    <w:rsid w:val="461B60BF"/>
    <w:rsid w:val="464C1D63"/>
    <w:rsid w:val="464E0242"/>
    <w:rsid w:val="46523C6D"/>
    <w:rsid w:val="46E54417"/>
    <w:rsid w:val="46F51803"/>
    <w:rsid w:val="47126D75"/>
    <w:rsid w:val="475E6263"/>
    <w:rsid w:val="47AE26A8"/>
    <w:rsid w:val="47B16CDB"/>
    <w:rsid w:val="47C6450F"/>
    <w:rsid w:val="47F42434"/>
    <w:rsid w:val="47F53CC4"/>
    <w:rsid w:val="48080645"/>
    <w:rsid w:val="481C0F8F"/>
    <w:rsid w:val="482D0584"/>
    <w:rsid w:val="488570E6"/>
    <w:rsid w:val="48A4652A"/>
    <w:rsid w:val="48DC1D50"/>
    <w:rsid w:val="48E21116"/>
    <w:rsid w:val="48F943AD"/>
    <w:rsid w:val="49064E04"/>
    <w:rsid w:val="49184C88"/>
    <w:rsid w:val="492506AB"/>
    <w:rsid w:val="492F1C9C"/>
    <w:rsid w:val="493C4F15"/>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B5666E"/>
    <w:rsid w:val="4BF90C50"/>
    <w:rsid w:val="4C417F01"/>
    <w:rsid w:val="4C51283A"/>
    <w:rsid w:val="4C9149E5"/>
    <w:rsid w:val="4CCC4796"/>
    <w:rsid w:val="4D01672A"/>
    <w:rsid w:val="4D2E2D63"/>
    <w:rsid w:val="4D2E492A"/>
    <w:rsid w:val="4D502AF2"/>
    <w:rsid w:val="4D5123C6"/>
    <w:rsid w:val="4D865536"/>
    <w:rsid w:val="4D8A4B8F"/>
    <w:rsid w:val="4DAE7232"/>
    <w:rsid w:val="4DBC0187"/>
    <w:rsid w:val="4DCC07AF"/>
    <w:rsid w:val="4E2F4EE8"/>
    <w:rsid w:val="4E41243B"/>
    <w:rsid w:val="4E4C62B4"/>
    <w:rsid w:val="4E524893"/>
    <w:rsid w:val="4E57035F"/>
    <w:rsid w:val="4E685C19"/>
    <w:rsid w:val="4E95414F"/>
    <w:rsid w:val="4F021BCA"/>
    <w:rsid w:val="4F06552A"/>
    <w:rsid w:val="4F7E28D1"/>
    <w:rsid w:val="4F981E76"/>
    <w:rsid w:val="4FBC446F"/>
    <w:rsid w:val="4FC70A05"/>
    <w:rsid w:val="4FD25A40"/>
    <w:rsid w:val="50046A9D"/>
    <w:rsid w:val="505428F9"/>
    <w:rsid w:val="507606D3"/>
    <w:rsid w:val="50B67110"/>
    <w:rsid w:val="50F47C38"/>
    <w:rsid w:val="510C6D30"/>
    <w:rsid w:val="51121E6C"/>
    <w:rsid w:val="511B5953"/>
    <w:rsid w:val="518A318B"/>
    <w:rsid w:val="51AA5C58"/>
    <w:rsid w:val="51D94FBE"/>
    <w:rsid w:val="522D5852"/>
    <w:rsid w:val="523A5B1F"/>
    <w:rsid w:val="52BF46A2"/>
    <w:rsid w:val="52C52CBD"/>
    <w:rsid w:val="5313329D"/>
    <w:rsid w:val="5338205E"/>
    <w:rsid w:val="53630C83"/>
    <w:rsid w:val="53664E8C"/>
    <w:rsid w:val="537A21C5"/>
    <w:rsid w:val="539D4A9A"/>
    <w:rsid w:val="53D224B3"/>
    <w:rsid w:val="543A364E"/>
    <w:rsid w:val="54696247"/>
    <w:rsid w:val="54905CBD"/>
    <w:rsid w:val="54B90F7D"/>
    <w:rsid w:val="54F20CFF"/>
    <w:rsid w:val="55180399"/>
    <w:rsid w:val="55337EDE"/>
    <w:rsid w:val="55506782"/>
    <w:rsid w:val="55743B88"/>
    <w:rsid w:val="55765A50"/>
    <w:rsid w:val="558C0A45"/>
    <w:rsid w:val="55EB26A0"/>
    <w:rsid w:val="563E18F0"/>
    <w:rsid w:val="567A5AD2"/>
    <w:rsid w:val="568A2C39"/>
    <w:rsid w:val="56B04601"/>
    <w:rsid w:val="56D51E02"/>
    <w:rsid w:val="56EB5639"/>
    <w:rsid w:val="57080F27"/>
    <w:rsid w:val="570E0DDA"/>
    <w:rsid w:val="577613A7"/>
    <w:rsid w:val="578278A2"/>
    <w:rsid w:val="578B4F7B"/>
    <w:rsid w:val="57E9601D"/>
    <w:rsid w:val="57FB47AE"/>
    <w:rsid w:val="582819EA"/>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E74DFA"/>
    <w:rsid w:val="5BF3356C"/>
    <w:rsid w:val="5BFE5E0F"/>
    <w:rsid w:val="5C021BCB"/>
    <w:rsid w:val="5C225659"/>
    <w:rsid w:val="5C384E7D"/>
    <w:rsid w:val="5C3929A3"/>
    <w:rsid w:val="5C645C72"/>
    <w:rsid w:val="5C741C2D"/>
    <w:rsid w:val="5C7F3353"/>
    <w:rsid w:val="5C900FEF"/>
    <w:rsid w:val="5C950521"/>
    <w:rsid w:val="5CAE513F"/>
    <w:rsid w:val="5CB67C1D"/>
    <w:rsid w:val="5D657E4C"/>
    <w:rsid w:val="5D661460"/>
    <w:rsid w:val="5D6814A0"/>
    <w:rsid w:val="5D6E48CE"/>
    <w:rsid w:val="5DCD7847"/>
    <w:rsid w:val="5E052134"/>
    <w:rsid w:val="5E092379"/>
    <w:rsid w:val="5E5F0DE7"/>
    <w:rsid w:val="5E624433"/>
    <w:rsid w:val="5EA70745"/>
    <w:rsid w:val="5EAD3BFE"/>
    <w:rsid w:val="5ED776BD"/>
    <w:rsid w:val="5EDB41E5"/>
    <w:rsid w:val="5EEB5F80"/>
    <w:rsid w:val="5EF87B54"/>
    <w:rsid w:val="5FBA1C89"/>
    <w:rsid w:val="5FEF50BE"/>
    <w:rsid w:val="60455DBA"/>
    <w:rsid w:val="604B0C0E"/>
    <w:rsid w:val="605D3104"/>
    <w:rsid w:val="60940AF0"/>
    <w:rsid w:val="60AF592A"/>
    <w:rsid w:val="60BA4072"/>
    <w:rsid w:val="60BE615B"/>
    <w:rsid w:val="60E62405"/>
    <w:rsid w:val="61913703"/>
    <w:rsid w:val="61C13B66"/>
    <w:rsid w:val="61D62D64"/>
    <w:rsid w:val="62287742"/>
    <w:rsid w:val="625563BE"/>
    <w:rsid w:val="62572464"/>
    <w:rsid w:val="626E0E72"/>
    <w:rsid w:val="62791D4B"/>
    <w:rsid w:val="62830E1C"/>
    <w:rsid w:val="629A14FB"/>
    <w:rsid w:val="62D376AD"/>
    <w:rsid w:val="62DA1FDB"/>
    <w:rsid w:val="62DD052C"/>
    <w:rsid w:val="62F87114"/>
    <w:rsid w:val="63100901"/>
    <w:rsid w:val="633345F0"/>
    <w:rsid w:val="637846F9"/>
    <w:rsid w:val="639808F7"/>
    <w:rsid w:val="63DC6922"/>
    <w:rsid w:val="63FC70D8"/>
    <w:rsid w:val="642E117D"/>
    <w:rsid w:val="643F6C42"/>
    <w:rsid w:val="644979C0"/>
    <w:rsid w:val="647A1DAB"/>
    <w:rsid w:val="64882719"/>
    <w:rsid w:val="64966BE4"/>
    <w:rsid w:val="64EE3063"/>
    <w:rsid w:val="651D5558"/>
    <w:rsid w:val="651F40E0"/>
    <w:rsid w:val="65310C09"/>
    <w:rsid w:val="65DB30B7"/>
    <w:rsid w:val="65DB6C69"/>
    <w:rsid w:val="65F242EE"/>
    <w:rsid w:val="65FA01AA"/>
    <w:rsid w:val="65FE5915"/>
    <w:rsid w:val="66025281"/>
    <w:rsid w:val="660B53B0"/>
    <w:rsid w:val="662C3370"/>
    <w:rsid w:val="663C37BC"/>
    <w:rsid w:val="664268FC"/>
    <w:rsid w:val="664D72A0"/>
    <w:rsid w:val="667C1E0A"/>
    <w:rsid w:val="66C80E19"/>
    <w:rsid w:val="66F45E44"/>
    <w:rsid w:val="670D6F06"/>
    <w:rsid w:val="673C737F"/>
    <w:rsid w:val="6753700F"/>
    <w:rsid w:val="675B76DD"/>
    <w:rsid w:val="678B49FB"/>
    <w:rsid w:val="67BA708E"/>
    <w:rsid w:val="67C50DDA"/>
    <w:rsid w:val="67CC59E3"/>
    <w:rsid w:val="67E97973"/>
    <w:rsid w:val="67F72090"/>
    <w:rsid w:val="683426D7"/>
    <w:rsid w:val="6841330B"/>
    <w:rsid w:val="687E455F"/>
    <w:rsid w:val="68B70790"/>
    <w:rsid w:val="68C37FDD"/>
    <w:rsid w:val="69054339"/>
    <w:rsid w:val="690600B1"/>
    <w:rsid w:val="690F6F65"/>
    <w:rsid w:val="69392657"/>
    <w:rsid w:val="693A17B3"/>
    <w:rsid w:val="696A196E"/>
    <w:rsid w:val="69A61091"/>
    <w:rsid w:val="69FB3DEF"/>
    <w:rsid w:val="6A042842"/>
    <w:rsid w:val="6A0D1561"/>
    <w:rsid w:val="6A16656B"/>
    <w:rsid w:val="6A7F4463"/>
    <w:rsid w:val="6A8D0A8A"/>
    <w:rsid w:val="6AE663EC"/>
    <w:rsid w:val="6AF64881"/>
    <w:rsid w:val="6AFC4B32"/>
    <w:rsid w:val="6BA20565"/>
    <w:rsid w:val="6BA37E39"/>
    <w:rsid w:val="6BB42046"/>
    <w:rsid w:val="6BB81B36"/>
    <w:rsid w:val="6BC56001"/>
    <w:rsid w:val="6BD821D8"/>
    <w:rsid w:val="6BF42D27"/>
    <w:rsid w:val="6C3F4006"/>
    <w:rsid w:val="6C4532D6"/>
    <w:rsid w:val="6CF92F35"/>
    <w:rsid w:val="6D2B24B2"/>
    <w:rsid w:val="6D327C14"/>
    <w:rsid w:val="6D8D2B4F"/>
    <w:rsid w:val="6D8F2D6B"/>
    <w:rsid w:val="6DAD32A8"/>
    <w:rsid w:val="6DE262E2"/>
    <w:rsid w:val="6E3E7C58"/>
    <w:rsid w:val="6F173018"/>
    <w:rsid w:val="6F2614AD"/>
    <w:rsid w:val="6FB53090"/>
    <w:rsid w:val="6FBA0900"/>
    <w:rsid w:val="6FBD3431"/>
    <w:rsid w:val="70312D8E"/>
    <w:rsid w:val="70736211"/>
    <w:rsid w:val="708017B4"/>
    <w:rsid w:val="70A24B63"/>
    <w:rsid w:val="70C47FBF"/>
    <w:rsid w:val="714D2CE1"/>
    <w:rsid w:val="718C7C43"/>
    <w:rsid w:val="71A32941"/>
    <w:rsid w:val="71C034F3"/>
    <w:rsid w:val="71F907B3"/>
    <w:rsid w:val="71FD402E"/>
    <w:rsid w:val="721970A7"/>
    <w:rsid w:val="721E1C37"/>
    <w:rsid w:val="724539F8"/>
    <w:rsid w:val="729B7ABC"/>
    <w:rsid w:val="72B50B7E"/>
    <w:rsid w:val="72BD3A0A"/>
    <w:rsid w:val="730E028E"/>
    <w:rsid w:val="731735E6"/>
    <w:rsid w:val="731D4975"/>
    <w:rsid w:val="73377D4F"/>
    <w:rsid w:val="733D0B73"/>
    <w:rsid w:val="73493D47"/>
    <w:rsid w:val="738D0F1D"/>
    <w:rsid w:val="73DF5CA9"/>
    <w:rsid w:val="747E1443"/>
    <w:rsid w:val="74815737"/>
    <w:rsid w:val="74B633B4"/>
    <w:rsid w:val="74F63C02"/>
    <w:rsid w:val="75CF2D88"/>
    <w:rsid w:val="76031637"/>
    <w:rsid w:val="76064604"/>
    <w:rsid w:val="760F5770"/>
    <w:rsid w:val="762A7AD4"/>
    <w:rsid w:val="764C22D8"/>
    <w:rsid w:val="7679717E"/>
    <w:rsid w:val="76816FC9"/>
    <w:rsid w:val="76B86E8E"/>
    <w:rsid w:val="77016066"/>
    <w:rsid w:val="770E0B98"/>
    <w:rsid w:val="775D17E4"/>
    <w:rsid w:val="77684CCF"/>
    <w:rsid w:val="777A2396"/>
    <w:rsid w:val="77A25449"/>
    <w:rsid w:val="77B917C8"/>
    <w:rsid w:val="78340796"/>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417926"/>
    <w:rsid w:val="7C662EE9"/>
    <w:rsid w:val="7CCC3693"/>
    <w:rsid w:val="7CEA3B1A"/>
    <w:rsid w:val="7CFC4076"/>
    <w:rsid w:val="7D0D4A1B"/>
    <w:rsid w:val="7D3E5C13"/>
    <w:rsid w:val="7D4E607C"/>
    <w:rsid w:val="7D7D6271"/>
    <w:rsid w:val="7DD10836"/>
    <w:rsid w:val="7E091498"/>
    <w:rsid w:val="7E097FCF"/>
    <w:rsid w:val="7E451025"/>
    <w:rsid w:val="7EBB576E"/>
    <w:rsid w:val="7EC80356"/>
    <w:rsid w:val="7ECD36F3"/>
    <w:rsid w:val="7ED76320"/>
    <w:rsid w:val="7F2B4B81"/>
    <w:rsid w:val="7F460DAF"/>
    <w:rsid w:val="7F7656D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afterLines="0"/>
    </w:p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3"/>
    <w:autoRedefine/>
    <w:qFormat/>
    <w:uiPriority w:val="0"/>
    <w:rPr>
      <w:rFonts w:ascii="宋体" w:hAnsi="Courier New"/>
      <w:sz w:val="20"/>
    </w:rPr>
  </w:style>
  <w:style w:type="paragraph" w:customStyle="1" w:styleId="13">
    <w:name w:val="正文1"/>
    <w:basedOn w:val="1"/>
    <w:next w:val="14"/>
    <w:autoRedefine/>
    <w:qFormat/>
    <w:uiPriority w:val="0"/>
    <w:pPr>
      <w:spacing w:line="360" w:lineRule="auto"/>
      <w:ind w:firstLine="480" w:firstLineChars="200"/>
    </w:pPr>
    <w:rPr>
      <w:rFonts w:cs="宋体"/>
      <w:szCs w:val="20"/>
    </w:rPr>
  </w:style>
  <w:style w:type="paragraph" w:styleId="14">
    <w:name w:val="Body Text First Indent 2"/>
    <w:basedOn w:val="15"/>
    <w:next w:val="16"/>
    <w:autoRedefine/>
    <w:qFormat/>
    <w:uiPriority w:val="0"/>
    <w:pPr>
      <w:spacing w:after="120" w:line="240" w:lineRule="auto"/>
      <w:ind w:left="420" w:leftChars="200" w:firstLine="420"/>
    </w:pPr>
    <w:rPr>
      <w:rFonts w:cs="宋体"/>
      <w:sz w:val="21"/>
    </w:rPr>
  </w:style>
  <w:style w:type="paragraph" w:customStyle="1" w:styleId="15">
    <w:name w:val="正文缩进1"/>
    <w:basedOn w:val="13"/>
    <w:autoRedefine/>
    <w:qFormat/>
    <w:uiPriority w:val="0"/>
    <w:pPr>
      <w:ind w:firstLine="0"/>
    </w:pPr>
    <w:rPr>
      <w:rFonts w:ascii="宋体" w:hAnsi="宋体"/>
      <w:sz w:val="28"/>
      <w:szCs w:val="28"/>
    </w:rPr>
  </w:style>
  <w:style w:type="paragraph" w:styleId="16">
    <w:name w:val="Body Text Indent 2"/>
    <w:basedOn w:val="13"/>
    <w:next w:val="17"/>
    <w:autoRedefine/>
    <w:qFormat/>
    <w:uiPriority w:val="0"/>
    <w:pPr>
      <w:spacing w:after="120" w:line="480" w:lineRule="auto"/>
      <w:ind w:left="420" w:leftChars="200"/>
    </w:pPr>
    <w:rPr>
      <w:rFonts w:eastAsia="仿宋_GB2312"/>
      <w:sz w:val="32"/>
      <w:szCs w:val="24"/>
    </w:rPr>
  </w:style>
  <w:style w:type="paragraph" w:customStyle="1" w:styleId="17">
    <w:name w:val="z正文"/>
    <w:basedOn w:val="12"/>
    <w:autoRedefine/>
    <w:qFormat/>
    <w:uiPriority w:val="99"/>
    <w:pPr>
      <w:tabs>
        <w:tab w:val="left" w:pos="525"/>
      </w:tabs>
      <w:spacing w:line="360" w:lineRule="auto"/>
    </w:pPr>
    <w:rPr>
      <w:rFonts w:hAnsi="宋体"/>
      <w:kern w:val="2"/>
      <w:sz w:val="24"/>
      <w:szCs w:val="20"/>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beforeLines="0" w:after="120" w:afterLines="0"/>
      <w:jc w:val="left"/>
    </w:pPr>
    <w:rPr>
      <w:b/>
      <w:bCs/>
      <w:caps/>
      <w:sz w:val="20"/>
      <w:szCs w:val="20"/>
    </w:rPr>
  </w:style>
  <w:style w:type="paragraph" w:styleId="22">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 w:type="character" w:customStyle="1" w:styleId="47">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30</Pages>
  <Words>7610</Words>
  <Characters>8223</Characters>
  <Lines>12</Lines>
  <Paragraphs>3</Paragraphs>
  <TotalTime>29</TotalTime>
  <ScaleCrop>false</ScaleCrop>
  <LinksUpToDate>false</LinksUpToDate>
  <CharactersWithSpaces>9359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2025-05-22T00:24:22Z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5ED6EEB13ED541E6BAF131C11F7303C2</vt:lpwstr>
  </property>
  <property fmtid="{D5CDD505-2E9C-101B-9397-08002B2CF9AE}" pid="4" name="KSOTemplateDocerSaveRecord">
    <vt:lpwstr>eyJoZGlkIjoiZTljNTBhYmU3MzQzZTM0ODdiMjBmZGU3YzlkODVhYjYiLCJ1c2VySWQiOiIyNTA4MTY1NzEifQ==</vt:lpwstr>
  </property>
</Properties>
</file>